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BD588">
      <w:pPr>
        <w:jc w:val="center"/>
        <w:rPr>
          <w:rFonts w:ascii="宋体"/>
          <w:b/>
          <w:sz w:val="32"/>
          <w:szCs w:val="32"/>
        </w:rPr>
      </w:pPr>
    </w:p>
    <w:p w14:paraId="5B6237F4">
      <w:pPr>
        <w:jc w:val="center"/>
        <w:rPr>
          <w:rFonts w:ascii="宋体"/>
          <w:b/>
          <w:sz w:val="32"/>
          <w:szCs w:val="32"/>
        </w:rPr>
      </w:pPr>
    </w:p>
    <w:p w14:paraId="0049DDB3">
      <w:pPr>
        <w:jc w:val="center"/>
        <w:rPr>
          <w:rFonts w:ascii="宋体"/>
          <w:b/>
          <w:sz w:val="32"/>
          <w:szCs w:val="32"/>
        </w:rPr>
      </w:pPr>
    </w:p>
    <w:p w14:paraId="194C835B">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14:paraId="0AFB3D6B">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《夏季香菇生产技术规程》</w:t>
      </w:r>
    </w:p>
    <w:p w14:paraId="16A92B02">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14:paraId="3D16BC36">
      <w:pPr>
        <w:ind w:firstLine="643" w:firstLineChars="200"/>
        <w:rPr>
          <w:rFonts w:ascii="仿宋" w:hAnsi="仿宋" w:eastAsia="仿宋"/>
          <w:b/>
          <w:sz w:val="32"/>
          <w:szCs w:val="32"/>
        </w:rPr>
      </w:pPr>
    </w:p>
    <w:p w14:paraId="124EE977">
      <w:pPr>
        <w:ind w:firstLine="643" w:firstLineChars="200"/>
        <w:rPr>
          <w:rFonts w:ascii="仿宋" w:hAnsi="仿宋" w:eastAsia="仿宋"/>
          <w:b/>
          <w:sz w:val="32"/>
          <w:szCs w:val="32"/>
        </w:rPr>
      </w:pPr>
    </w:p>
    <w:p w14:paraId="65998D6C">
      <w:pPr>
        <w:ind w:firstLine="643" w:firstLineChars="200"/>
        <w:rPr>
          <w:rFonts w:ascii="仿宋" w:hAnsi="仿宋" w:eastAsia="仿宋"/>
          <w:b/>
          <w:sz w:val="32"/>
          <w:szCs w:val="32"/>
        </w:rPr>
      </w:pPr>
    </w:p>
    <w:p w14:paraId="1F377700">
      <w:pPr>
        <w:ind w:firstLine="643" w:firstLineChars="200"/>
        <w:rPr>
          <w:rFonts w:ascii="仿宋" w:hAnsi="仿宋" w:eastAsia="仿宋"/>
          <w:b/>
          <w:sz w:val="32"/>
          <w:szCs w:val="32"/>
        </w:rPr>
      </w:pPr>
    </w:p>
    <w:p w14:paraId="3A531A2F">
      <w:pPr>
        <w:ind w:firstLine="643" w:firstLineChars="200"/>
        <w:rPr>
          <w:rFonts w:ascii="仿宋" w:hAnsi="仿宋" w:eastAsia="仿宋"/>
          <w:b/>
          <w:sz w:val="32"/>
          <w:szCs w:val="32"/>
        </w:rPr>
      </w:pPr>
    </w:p>
    <w:p w14:paraId="2732DA93">
      <w:pPr>
        <w:ind w:firstLine="643" w:firstLineChars="200"/>
        <w:rPr>
          <w:rFonts w:ascii="仿宋" w:hAnsi="仿宋" w:eastAsia="仿宋"/>
          <w:b/>
          <w:sz w:val="32"/>
          <w:szCs w:val="32"/>
        </w:rPr>
      </w:pPr>
    </w:p>
    <w:p w14:paraId="08A9764D">
      <w:pPr>
        <w:ind w:firstLine="643" w:firstLineChars="200"/>
        <w:rPr>
          <w:rFonts w:ascii="仿宋" w:hAnsi="仿宋" w:eastAsia="仿宋"/>
          <w:b/>
          <w:sz w:val="32"/>
          <w:szCs w:val="32"/>
        </w:rPr>
      </w:pPr>
    </w:p>
    <w:p w14:paraId="3080653F">
      <w:pPr>
        <w:ind w:firstLine="643" w:firstLineChars="200"/>
        <w:jc w:val="center"/>
        <w:rPr>
          <w:rFonts w:ascii="仿宋" w:hAnsi="仿宋" w:eastAsia="仿宋"/>
          <w:b/>
          <w:sz w:val="32"/>
          <w:szCs w:val="32"/>
        </w:rPr>
      </w:pPr>
    </w:p>
    <w:p w14:paraId="20288FCE">
      <w:pPr>
        <w:ind w:firstLine="643" w:firstLineChars="200"/>
        <w:jc w:val="center"/>
        <w:rPr>
          <w:rFonts w:ascii="宋体"/>
          <w:b/>
          <w:sz w:val="32"/>
          <w:szCs w:val="32"/>
        </w:rPr>
      </w:pPr>
    </w:p>
    <w:p w14:paraId="344203DA">
      <w:pPr>
        <w:ind w:firstLine="643" w:firstLineChars="200"/>
        <w:jc w:val="center"/>
        <w:rPr>
          <w:rFonts w:ascii="宋体"/>
          <w:b/>
          <w:sz w:val="32"/>
          <w:szCs w:val="32"/>
        </w:rPr>
      </w:pPr>
    </w:p>
    <w:p w14:paraId="4C922ABA">
      <w:pPr>
        <w:ind w:firstLine="643" w:firstLineChars="200"/>
        <w:jc w:val="center"/>
        <w:rPr>
          <w:rFonts w:ascii="宋体"/>
          <w:b/>
          <w:sz w:val="32"/>
          <w:szCs w:val="32"/>
        </w:rPr>
      </w:pPr>
    </w:p>
    <w:p w14:paraId="15A57B2A">
      <w:pPr>
        <w:spacing w:line="360" w:lineRule="auto"/>
        <w:jc w:val="center"/>
        <w:rPr>
          <w:rFonts w:ascii="宋体" w:hAnsi="宋体"/>
          <w:b/>
          <w:kern w:val="22"/>
          <w:sz w:val="10"/>
          <w:szCs w:val="10"/>
        </w:rPr>
      </w:pPr>
      <w:r>
        <w:rPr>
          <w:rFonts w:hint="eastAsia" w:ascii="宋体" w:hAnsi="宋体"/>
          <w:b/>
          <w:kern w:val="22"/>
          <w:sz w:val="32"/>
          <w:szCs w:val="32"/>
        </w:rPr>
        <w:t>编制单位：山西农业大学</w:t>
      </w:r>
    </w:p>
    <w:p w14:paraId="5F9F8B0C">
      <w:pPr>
        <w:jc w:val="center"/>
        <w:rPr>
          <w:rFonts w:ascii="宋体" w:hAnsi="宋体"/>
          <w:b/>
          <w:sz w:val="32"/>
          <w:szCs w:val="32"/>
        </w:rPr>
      </w:pPr>
      <w:r>
        <w:rPr>
          <w:rFonts w:hint="eastAsia" w:ascii="宋体" w:hAnsi="宋体"/>
          <w:b/>
          <w:sz w:val="32"/>
          <w:szCs w:val="32"/>
        </w:rPr>
        <w:t xml:space="preserve"> 二〇二四年三月</w:t>
      </w:r>
    </w:p>
    <w:p w14:paraId="1E913762">
      <w:pPr>
        <w:jc w:val="center"/>
        <w:rPr>
          <w:rFonts w:ascii="宋体" w:hAnsi="宋体"/>
          <w:b/>
          <w:sz w:val="32"/>
          <w:szCs w:val="32"/>
        </w:rPr>
      </w:pPr>
    </w:p>
    <w:p w14:paraId="18CEC873">
      <w:pPr>
        <w:jc w:val="center"/>
        <w:rPr>
          <w:rFonts w:ascii="宋体" w:hAnsi="宋体"/>
          <w:b/>
          <w:sz w:val="32"/>
          <w:szCs w:val="32"/>
        </w:rPr>
      </w:pPr>
    </w:p>
    <w:p w14:paraId="4FF57A51">
      <w:pPr>
        <w:jc w:val="center"/>
        <w:rPr>
          <w:rFonts w:ascii="宋体" w:hAnsi="宋体"/>
          <w:b/>
          <w:sz w:val="32"/>
          <w:szCs w:val="32"/>
        </w:rPr>
      </w:pPr>
    </w:p>
    <w:p w14:paraId="2EFD021E">
      <w:pPr>
        <w:spacing w:line="520" w:lineRule="exact"/>
        <w:jc w:val="center"/>
        <w:rPr>
          <w:rFonts w:ascii="宋体"/>
          <w:b/>
          <w:sz w:val="30"/>
          <w:szCs w:val="30"/>
        </w:rPr>
      </w:pPr>
      <w:r>
        <w:rPr>
          <w:rFonts w:hint="eastAsia" w:ascii="宋体" w:hAnsi="宋体"/>
          <w:b/>
          <w:sz w:val="30"/>
          <w:szCs w:val="30"/>
        </w:rPr>
        <w:t>山西省地方标准</w:t>
      </w:r>
    </w:p>
    <w:p w14:paraId="3CCB6433">
      <w:pPr>
        <w:spacing w:line="520" w:lineRule="exact"/>
        <w:jc w:val="center"/>
        <w:rPr>
          <w:rFonts w:ascii="宋体"/>
          <w:b/>
          <w:sz w:val="30"/>
          <w:szCs w:val="30"/>
        </w:rPr>
      </w:pPr>
      <w:r>
        <w:rPr>
          <w:rFonts w:hint="eastAsia" w:ascii="宋体" w:hAnsi="宋体"/>
          <w:b/>
          <w:sz w:val="30"/>
          <w:szCs w:val="30"/>
        </w:rPr>
        <w:t>《夏季香菇生产技术规程》</w:t>
      </w:r>
    </w:p>
    <w:p w14:paraId="3DC94101">
      <w:pPr>
        <w:spacing w:line="520" w:lineRule="exact"/>
        <w:jc w:val="center"/>
        <w:rPr>
          <w:rFonts w:ascii="宋体" w:hAnsi="宋体"/>
          <w:b/>
          <w:sz w:val="30"/>
          <w:szCs w:val="30"/>
        </w:rPr>
      </w:pPr>
      <w:r>
        <w:rPr>
          <w:rFonts w:hint="eastAsia" w:ascii="宋体" w:hAnsi="宋体"/>
          <w:b/>
          <w:sz w:val="30"/>
          <w:szCs w:val="30"/>
        </w:rPr>
        <w:t>编制说明</w:t>
      </w:r>
    </w:p>
    <w:p w14:paraId="420F967D">
      <w:pPr>
        <w:spacing w:line="520" w:lineRule="exact"/>
        <w:jc w:val="center"/>
        <w:rPr>
          <w:rFonts w:ascii="宋体" w:hAnsi="宋体"/>
          <w:b/>
          <w:sz w:val="30"/>
          <w:szCs w:val="30"/>
        </w:rPr>
      </w:pPr>
    </w:p>
    <w:p w14:paraId="35326AA3">
      <w:pPr>
        <w:spacing w:line="360" w:lineRule="auto"/>
        <w:ind w:firstLine="480" w:firstLineChars="200"/>
        <w:outlineLvl w:val="0"/>
        <w:rPr>
          <w:rFonts w:ascii="黑体" w:eastAsia="黑体"/>
          <w:sz w:val="24"/>
        </w:rPr>
      </w:pPr>
      <w:r>
        <w:rPr>
          <w:rFonts w:hint="eastAsia" w:ascii="黑体" w:eastAsia="黑体"/>
          <w:sz w:val="24"/>
        </w:rPr>
        <w:t>一、工作概述</w:t>
      </w:r>
    </w:p>
    <w:p w14:paraId="1509A88C">
      <w:pPr>
        <w:spacing w:line="360" w:lineRule="auto"/>
        <w:ind w:left="465"/>
        <w:outlineLvl w:val="1"/>
        <w:rPr>
          <w:rFonts w:ascii="楷体_GB2312" w:eastAsia="楷体_GB2312"/>
          <w:sz w:val="24"/>
        </w:rPr>
      </w:pPr>
      <w:r>
        <w:rPr>
          <w:rFonts w:hint="eastAsia" w:ascii="楷体_GB2312" w:eastAsia="楷体_GB2312"/>
          <w:sz w:val="24"/>
        </w:rPr>
        <w:t>1任务来源</w:t>
      </w:r>
    </w:p>
    <w:p w14:paraId="6E042D8E">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根据山西省</w:t>
      </w:r>
      <w:r>
        <w:rPr>
          <w:rFonts w:hint="eastAsia" w:ascii="仿宋_GB2312" w:hAnsi="宋体" w:eastAsia="仿宋_GB2312"/>
          <w:sz w:val="24"/>
          <w:lang w:val="en-US" w:eastAsia="zh-CN"/>
        </w:rPr>
        <w:t>市场</w:t>
      </w:r>
      <w:r>
        <w:rPr>
          <w:rFonts w:hint="eastAsia" w:ascii="仿宋_GB2312" w:hAnsi="宋体" w:eastAsia="仿宋_GB2312"/>
          <w:sz w:val="24"/>
        </w:rPr>
        <w:t>监督</w:t>
      </w:r>
      <w:r>
        <w:rPr>
          <w:rFonts w:hint="eastAsia" w:ascii="仿宋_GB2312" w:hAnsi="宋体" w:eastAsia="仿宋_GB2312"/>
          <w:sz w:val="24"/>
          <w:lang w:val="en-US" w:eastAsia="zh-CN"/>
        </w:rPr>
        <w:t>管理</w:t>
      </w:r>
      <w:r>
        <w:rPr>
          <w:rFonts w:hint="eastAsia" w:ascii="仿宋_GB2312" w:hAnsi="宋体" w:eastAsia="仿宋_GB2312"/>
          <w:sz w:val="24"/>
        </w:rPr>
        <w:t>局2023年3月</w:t>
      </w:r>
      <w:r>
        <w:rPr>
          <w:rFonts w:hint="eastAsia" w:ascii="仿宋_GB2312" w:hAnsi="宋体" w:eastAsia="仿宋_GB2312"/>
          <w:sz w:val="24"/>
          <w:lang w:eastAsia="zh-CN"/>
        </w:rPr>
        <w:t>《</w:t>
      </w:r>
      <w:r>
        <w:rPr>
          <w:rFonts w:hint="eastAsia" w:ascii="仿宋_GB2312" w:hAnsi="宋体" w:eastAsia="仿宋_GB2312"/>
          <w:sz w:val="24"/>
        </w:rPr>
        <w:t>关于征集20</w:t>
      </w:r>
      <w:r>
        <w:rPr>
          <w:rFonts w:hint="eastAsia" w:ascii="仿宋_GB2312" w:hAnsi="宋体" w:eastAsia="仿宋_GB2312"/>
          <w:sz w:val="24"/>
          <w:lang w:val="en-US" w:eastAsia="zh-CN"/>
        </w:rPr>
        <w:t>23</w:t>
      </w:r>
      <w:r>
        <w:rPr>
          <w:rFonts w:hint="eastAsia" w:ascii="仿宋_GB2312" w:hAnsi="宋体" w:eastAsia="仿宋_GB2312"/>
          <w:sz w:val="24"/>
        </w:rPr>
        <w:t>年度山西省地方标准制修订项目的通知</w:t>
      </w:r>
      <w:r>
        <w:rPr>
          <w:rFonts w:hint="eastAsia" w:ascii="仿宋_GB2312" w:hAnsi="宋体" w:eastAsia="仿宋_GB2312"/>
          <w:sz w:val="24"/>
          <w:lang w:eastAsia="zh-CN"/>
        </w:rPr>
        <w:t>》</w:t>
      </w:r>
      <w:r>
        <w:rPr>
          <w:rFonts w:hint="eastAsia" w:ascii="仿宋_GB2312" w:hAnsi="宋体" w:eastAsia="仿宋_GB2312"/>
          <w:sz w:val="24"/>
        </w:rPr>
        <w:t>的文件精神，就</w:t>
      </w:r>
      <w:r>
        <w:rPr>
          <w:rFonts w:hint="eastAsia" w:ascii="仿宋_GB2312" w:hAnsi="宋体" w:eastAsia="仿宋_GB2312"/>
          <w:sz w:val="24"/>
          <w:lang w:eastAsia="zh-CN"/>
        </w:rPr>
        <w:t>《</w:t>
      </w:r>
      <w:r>
        <w:rPr>
          <w:rFonts w:hint="eastAsia" w:ascii="仿宋_GB2312" w:hAnsi="宋体" w:eastAsia="仿宋_GB2312"/>
          <w:sz w:val="24"/>
        </w:rPr>
        <w:t>夏季香菇栽培技术规程</w:t>
      </w:r>
      <w:r>
        <w:rPr>
          <w:rFonts w:hint="eastAsia" w:ascii="仿宋_GB2312" w:hAnsi="宋体" w:eastAsia="仿宋_GB2312"/>
          <w:sz w:val="24"/>
          <w:lang w:eastAsia="zh-CN"/>
        </w:rPr>
        <w:t>》</w:t>
      </w:r>
      <w:r>
        <w:rPr>
          <w:rFonts w:hint="eastAsia" w:ascii="仿宋_GB2312" w:hAnsi="宋体" w:eastAsia="仿宋_GB2312"/>
          <w:sz w:val="24"/>
        </w:rPr>
        <w:t>标准的制定工作提出申请，</w:t>
      </w:r>
      <w:r>
        <w:rPr>
          <w:rFonts w:hint="eastAsia" w:ascii="仿宋_GB2312" w:hAnsi="宋体" w:eastAsia="仿宋_GB2312"/>
          <w:sz w:val="24"/>
          <w:lang w:eastAsia="zh-CN"/>
        </w:rPr>
        <w:t>山西省市场监督管理局</w:t>
      </w:r>
      <w:r>
        <w:rPr>
          <w:rFonts w:hint="eastAsia" w:ascii="仿宋_GB2312" w:hAnsi="宋体" w:eastAsia="仿宋_GB2312"/>
          <w:sz w:val="24"/>
          <w:lang w:val="en-US" w:eastAsia="zh-CN"/>
        </w:rPr>
        <w:t>晋市监函[2023]351号文件</w:t>
      </w:r>
      <w:r>
        <w:rPr>
          <w:rFonts w:hint="eastAsia" w:ascii="仿宋_GB2312" w:hAnsi="宋体" w:eastAsia="仿宋_GB2312"/>
          <w:sz w:val="24"/>
        </w:rPr>
        <w:t>批准立项。本标准由山西省农业标准化技术委员会（SXS/TC19）归口。</w:t>
      </w:r>
    </w:p>
    <w:p w14:paraId="4A4FB812">
      <w:pPr>
        <w:spacing w:line="360" w:lineRule="auto"/>
        <w:ind w:left="465"/>
        <w:outlineLvl w:val="1"/>
        <w:rPr>
          <w:rFonts w:ascii="楷体_GB2312" w:eastAsia="楷体_GB2312"/>
          <w:sz w:val="24"/>
        </w:rPr>
      </w:pPr>
      <w:r>
        <w:rPr>
          <w:rFonts w:hint="eastAsia" w:ascii="楷体_GB2312" w:eastAsia="楷体_GB2312"/>
          <w:sz w:val="24"/>
        </w:rPr>
        <w:t>2起草</w:t>
      </w:r>
      <w:r>
        <w:rPr>
          <w:rFonts w:ascii="楷体_GB2312" w:eastAsia="楷体_GB2312"/>
          <w:sz w:val="24"/>
        </w:rPr>
        <w:t>单位和主要起草人</w:t>
      </w:r>
    </w:p>
    <w:p w14:paraId="4DD24738">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sz w:val="24"/>
        </w:rPr>
        <w:t>山西农业大学</w:t>
      </w:r>
      <w:r>
        <w:rPr>
          <w:rFonts w:hint="eastAsia" w:ascii="仿宋_GB2312" w:hAnsi="宋体" w:eastAsia="仿宋_GB2312"/>
          <w:sz w:val="24"/>
          <w:lang w:eastAsia="zh-CN"/>
        </w:rPr>
        <w:t>、交口县韦禾农业发展有限公司、广灵县北野食用菌业开发有限责任公司</w:t>
      </w:r>
      <w:r>
        <w:rPr>
          <w:rFonts w:hint="eastAsia" w:ascii="仿宋_GB2312" w:hAnsi="宋体" w:eastAsia="仿宋_GB2312"/>
          <w:sz w:val="24"/>
        </w:rPr>
        <w:t>承担</w:t>
      </w:r>
      <w:r>
        <w:rPr>
          <w:rFonts w:ascii="仿宋_GB2312" w:hAnsi="宋体" w:eastAsia="仿宋_GB2312"/>
          <w:sz w:val="24"/>
        </w:rPr>
        <w:t>。</w:t>
      </w:r>
    </w:p>
    <w:p w14:paraId="32A7A694">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主要起草人：刘靖宇、常明昌、孟俊龙、李亮、赵斌、程红艳、冯翠萍、程艳芬、邓冰、杨杰。</w:t>
      </w:r>
    </w:p>
    <w:p w14:paraId="4829B226">
      <w:pPr>
        <w:spacing w:line="360" w:lineRule="auto"/>
        <w:ind w:firstLine="480" w:firstLineChars="200"/>
        <w:jc w:val="center"/>
        <w:outlineLvl w:val="1"/>
        <w:rPr>
          <w:rFonts w:hint="eastAsia" w:ascii="仿宋_GB2312" w:hAnsi="宋体" w:eastAsia="仿宋_GB2312"/>
          <w:sz w:val="24"/>
        </w:rPr>
      </w:pPr>
      <w:r>
        <w:rPr>
          <w:rFonts w:hint="eastAsia" w:ascii="仿宋_GB2312" w:hAnsi="宋体" w:eastAsia="仿宋_GB2312"/>
          <w:sz w:val="24"/>
        </w:rPr>
        <w:t>主要起草人信息</w:t>
      </w:r>
    </w:p>
    <w:tbl>
      <w:tblPr>
        <w:tblStyle w:val="13"/>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72"/>
        <w:gridCol w:w="3401"/>
        <w:gridCol w:w="1263"/>
      </w:tblGrid>
      <w:tr w14:paraId="65E5C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718660C">
            <w:pPr>
              <w:spacing w:line="400" w:lineRule="exact"/>
              <w:jc w:val="center"/>
              <w:rPr>
                <w:rFonts w:hint="eastAsia" w:ascii="仿宋" w:hAnsi="仿宋" w:eastAsia="仿宋" w:cs="Courier New"/>
                <w:sz w:val="24"/>
              </w:rPr>
            </w:pPr>
            <w:r>
              <w:rPr>
                <w:rFonts w:hint="eastAsia" w:ascii="仿宋" w:hAnsi="仿宋" w:eastAsia="仿宋" w:cs="Courier New"/>
                <w:sz w:val="24"/>
              </w:rPr>
              <w:t>姓名</w:t>
            </w:r>
          </w:p>
        </w:tc>
        <w:tc>
          <w:tcPr>
            <w:tcW w:w="993" w:type="dxa"/>
          </w:tcPr>
          <w:p w14:paraId="1053BAF3">
            <w:pPr>
              <w:spacing w:line="400" w:lineRule="exact"/>
              <w:jc w:val="center"/>
              <w:rPr>
                <w:rFonts w:hint="eastAsia" w:ascii="仿宋" w:hAnsi="仿宋" w:eastAsia="仿宋" w:cs="Courier New"/>
                <w:sz w:val="24"/>
              </w:rPr>
            </w:pPr>
            <w:r>
              <w:rPr>
                <w:rFonts w:hint="eastAsia" w:ascii="仿宋" w:hAnsi="仿宋" w:eastAsia="仿宋" w:cs="Courier New"/>
                <w:sz w:val="24"/>
              </w:rPr>
              <w:t>性别</w:t>
            </w:r>
          </w:p>
        </w:tc>
        <w:tc>
          <w:tcPr>
            <w:tcW w:w="1772" w:type="dxa"/>
          </w:tcPr>
          <w:p w14:paraId="45BBA085">
            <w:pPr>
              <w:spacing w:line="400" w:lineRule="exact"/>
              <w:jc w:val="center"/>
              <w:rPr>
                <w:rFonts w:hint="eastAsia" w:ascii="仿宋" w:hAnsi="仿宋" w:eastAsia="仿宋" w:cs="Courier New"/>
                <w:sz w:val="24"/>
              </w:rPr>
            </w:pPr>
            <w:r>
              <w:rPr>
                <w:rFonts w:hint="eastAsia" w:ascii="仿宋" w:hAnsi="仿宋" w:eastAsia="仿宋" w:cs="Courier New"/>
                <w:sz w:val="24"/>
              </w:rPr>
              <w:t>职务/职称</w:t>
            </w:r>
          </w:p>
        </w:tc>
        <w:tc>
          <w:tcPr>
            <w:tcW w:w="3401" w:type="dxa"/>
          </w:tcPr>
          <w:p w14:paraId="70C29557">
            <w:pPr>
              <w:spacing w:line="400" w:lineRule="exact"/>
              <w:jc w:val="center"/>
              <w:rPr>
                <w:rFonts w:hint="eastAsia" w:ascii="仿宋" w:hAnsi="仿宋" w:eastAsia="仿宋" w:cs="Courier New"/>
                <w:sz w:val="24"/>
              </w:rPr>
            </w:pPr>
            <w:r>
              <w:rPr>
                <w:rFonts w:hint="eastAsia" w:ascii="仿宋" w:hAnsi="仿宋" w:eastAsia="仿宋" w:cs="Courier New"/>
                <w:sz w:val="24"/>
              </w:rPr>
              <w:t>工作单位</w:t>
            </w:r>
          </w:p>
        </w:tc>
        <w:tc>
          <w:tcPr>
            <w:tcW w:w="1263" w:type="dxa"/>
          </w:tcPr>
          <w:p w14:paraId="7D87125B">
            <w:pPr>
              <w:spacing w:line="400" w:lineRule="exact"/>
              <w:jc w:val="center"/>
              <w:rPr>
                <w:rFonts w:hint="eastAsia" w:ascii="仿宋" w:hAnsi="仿宋" w:eastAsia="仿宋" w:cs="Courier New"/>
                <w:sz w:val="24"/>
              </w:rPr>
            </w:pPr>
            <w:r>
              <w:rPr>
                <w:rFonts w:hint="eastAsia" w:ascii="仿宋" w:hAnsi="仿宋" w:eastAsia="仿宋" w:cs="Courier New"/>
                <w:sz w:val="24"/>
              </w:rPr>
              <w:t>任务分工</w:t>
            </w:r>
          </w:p>
        </w:tc>
      </w:tr>
      <w:tr w14:paraId="46D70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0D6C078">
            <w:pPr>
              <w:spacing w:line="400" w:lineRule="exact"/>
              <w:jc w:val="center"/>
              <w:rPr>
                <w:rFonts w:hint="eastAsia" w:ascii="仿宋" w:hAnsi="仿宋" w:eastAsia="仿宋" w:cs="Courier New"/>
                <w:sz w:val="24"/>
              </w:rPr>
            </w:pPr>
            <w:r>
              <w:rPr>
                <w:rFonts w:hint="eastAsia" w:ascii="仿宋" w:hAnsi="仿宋" w:eastAsia="仿宋" w:cs="Courier New"/>
                <w:sz w:val="24"/>
              </w:rPr>
              <w:t>刘靖宇</w:t>
            </w:r>
          </w:p>
        </w:tc>
        <w:tc>
          <w:tcPr>
            <w:tcW w:w="993" w:type="dxa"/>
            <w:vAlign w:val="center"/>
          </w:tcPr>
          <w:p w14:paraId="43819CF2">
            <w:pPr>
              <w:spacing w:line="400" w:lineRule="exact"/>
              <w:jc w:val="center"/>
              <w:rPr>
                <w:rFonts w:hint="eastAsia" w:ascii="仿宋" w:hAnsi="仿宋" w:eastAsia="仿宋" w:cs="Courier New"/>
                <w:sz w:val="24"/>
              </w:rPr>
            </w:pPr>
            <w:r>
              <w:rPr>
                <w:rFonts w:hint="eastAsia" w:ascii="仿宋" w:hAnsi="仿宋" w:eastAsia="仿宋" w:cs="Courier New"/>
                <w:sz w:val="24"/>
              </w:rPr>
              <w:t>男</w:t>
            </w:r>
          </w:p>
        </w:tc>
        <w:tc>
          <w:tcPr>
            <w:tcW w:w="1772" w:type="dxa"/>
            <w:vAlign w:val="center"/>
          </w:tcPr>
          <w:p w14:paraId="5E528694">
            <w:pPr>
              <w:spacing w:line="400" w:lineRule="exact"/>
              <w:jc w:val="center"/>
              <w:rPr>
                <w:rFonts w:hint="eastAsia" w:ascii="仿宋" w:hAnsi="仿宋" w:eastAsia="仿宋" w:cs="Courier New"/>
                <w:sz w:val="24"/>
              </w:rPr>
            </w:pPr>
            <w:r>
              <w:rPr>
                <w:rFonts w:hint="eastAsia" w:ascii="仿宋" w:hAnsi="仿宋" w:eastAsia="仿宋" w:cs="Courier New"/>
                <w:sz w:val="24"/>
              </w:rPr>
              <w:t>教授</w:t>
            </w:r>
          </w:p>
        </w:tc>
        <w:tc>
          <w:tcPr>
            <w:tcW w:w="3401" w:type="dxa"/>
            <w:vAlign w:val="center"/>
          </w:tcPr>
          <w:p w14:paraId="558A7300">
            <w:pPr>
              <w:spacing w:line="400" w:lineRule="exact"/>
              <w:jc w:val="center"/>
              <w:rPr>
                <w:rFonts w:hint="eastAsia" w:ascii="仿宋" w:hAnsi="仿宋" w:eastAsia="仿宋" w:cs="Courier New"/>
                <w:sz w:val="24"/>
              </w:rPr>
            </w:pPr>
            <w:r>
              <w:rPr>
                <w:rFonts w:hint="eastAsia" w:ascii="仿宋" w:hAnsi="仿宋" w:eastAsia="仿宋" w:cs="Courier New"/>
                <w:sz w:val="24"/>
              </w:rPr>
              <w:t>山西农业大学</w:t>
            </w:r>
          </w:p>
        </w:tc>
        <w:tc>
          <w:tcPr>
            <w:tcW w:w="1263" w:type="dxa"/>
            <w:vAlign w:val="center"/>
          </w:tcPr>
          <w:p w14:paraId="0525B249">
            <w:pPr>
              <w:spacing w:line="400" w:lineRule="exact"/>
              <w:jc w:val="center"/>
              <w:rPr>
                <w:rFonts w:hint="eastAsia" w:ascii="仿宋" w:hAnsi="仿宋" w:eastAsia="仿宋" w:cs="Courier New"/>
                <w:sz w:val="24"/>
              </w:rPr>
            </w:pPr>
            <w:r>
              <w:rPr>
                <w:rFonts w:hint="eastAsia" w:ascii="仿宋" w:hAnsi="仿宋" w:eastAsia="仿宋" w:cs="Courier New"/>
                <w:sz w:val="24"/>
              </w:rPr>
              <w:t>总体负责</w:t>
            </w:r>
          </w:p>
        </w:tc>
      </w:tr>
      <w:tr w14:paraId="4005D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887CA79">
            <w:pPr>
              <w:spacing w:line="400" w:lineRule="exact"/>
              <w:jc w:val="center"/>
              <w:rPr>
                <w:rFonts w:hint="eastAsia" w:ascii="仿宋" w:hAnsi="仿宋" w:eastAsia="仿宋" w:cs="Courier New"/>
                <w:sz w:val="24"/>
              </w:rPr>
            </w:pPr>
            <w:r>
              <w:rPr>
                <w:rFonts w:hint="eastAsia" w:ascii="仿宋" w:hAnsi="仿宋" w:eastAsia="仿宋" w:cs="Courier New"/>
                <w:sz w:val="24"/>
              </w:rPr>
              <w:t>常明昌</w:t>
            </w:r>
          </w:p>
        </w:tc>
        <w:tc>
          <w:tcPr>
            <w:tcW w:w="993" w:type="dxa"/>
            <w:vAlign w:val="center"/>
          </w:tcPr>
          <w:p w14:paraId="0C364CFE">
            <w:pPr>
              <w:spacing w:line="400" w:lineRule="exact"/>
              <w:jc w:val="center"/>
              <w:rPr>
                <w:rFonts w:hint="eastAsia" w:ascii="仿宋" w:hAnsi="仿宋" w:eastAsia="仿宋" w:cs="Courier New"/>
                <w:sz w:val="24"/>
              </w:rPr>
            </w:pPr>
            <w:r>
              <w:rPr>
                <w:rFonts w:hint="eastAsia" w:ascii="仿宋" w:hAnsi="仿宋" w:eastAsia="仿宋" w:cs="Courier New"/>
                <w:sz w:val="24"/>
              </w:rPr>
              <w:t>男</w:t>
            </w:r>
          </w:p>
        </w:tc>
        <w:tc>
          <w:tcPr>
            <w:tcW w:w="1772" w:type="dxa"/>
            <w:vAlign w:val="center"/>
          </w:tcPr>
          <w:p w14:paraId="6FF34A92">
            <w:pPr>
              <w:spacing w:line="400" w:lineRule="exact"/>
              <w:jc w:val="center"/>
              <w:rPr>
                <w:rFonts w:hint="eastAsia" w:ascii="仿宋" w:hAnsi="仿宋" w:eastAsia="仿宋" w:cs="Courier New"/>
                <w:sz w:val="24"/>
              </w:rPr>
            </w:pPr>
            <w:r>
              <w:rPr>
                <w:rFonts w:hint="eastAsia" w:ascii="仿宋" w:hAnsi="仿宋" w:eastAsia="仿宋" w:cs="Courier New"/>
                <w:sz w:val="24"/>
              </w:rPr>
              <w:t>院长/教授</w:t>
            </w:r>
          </w:p>
        </w:tc>
        <w:tc>
          <w:tcPr>
            <w:tcW w:w="3401" w:type="dxa"/>
            <w:vAlign w:val="center"/>
          </w:tcPr>
          <w:p w14:paraId="3B2D5D27">
            <w:pPr>
              <w:spacing w:line="400" w:lineRule="exact"/>
              <w:jc w:val="center"/>
              <w:rPr>
                <w:rFonts w:hint="eastAsia" w:ascii="仿宋" w:hAnsi="仿宋" w:eastAsia="仿宋" w:cs="Courier New"/>
                <w:sz w:val="24"/>
              </w:rPr>
            </w:pPr>
            <w:r>
              <w:rPr>
                <w:rFonts w:hint="eastAsia" w:ascii="仿宋" w:hAnsi="仿宋" w:eastAsia="仿宋" w:cs="Courier New"/>
                <w:sz w:val="24"/>
              </w:rPr>
              <w:t>山西农业大学</w:t>
            </w:r>
          </w:p>
        </w:tc>
        <w:tc>
          <w:tcPr>
            <w:tcW w:w="1263" w:type="dxa"/>
            <w:vAlign w:val="center"/>
          </w:tcPr>
          <w:p w14:paraId="183DA365">
            <w:pPr>
              <w:spacing w:line="400" w:lineRule="exact"/>
              <w:jc w:val="center"/>
              <w:rPr>
                <w:rFonts w:hint="eastAsia" w:ascii="仿宋" w:hAnsi="仿宋" w:eastAsia="仿宋" w:cs="Courier New"/>
                <w:sz w:val="24"/>
              </w:rPr>
            </w:pPr>
            <w:r>
              <w:rPr>
                <w:rFonts w:hint="eastAsia" w:ascii="仿宋" w:hAnsi="仿宋" w:eastAsia="仿宋" w:cs="Courier New"/>
                <w:sz w:val="24"/>
              </w:rPr>
              <w:t>标准调研</w:t>
            </w:r>
          </w:p>
        </w:tc>
      </w:tr>
      <w:tr w14:paraId="6E0B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980CB18">
            <w:pPr>
              <w:spacing w:line="400" w:lineRule="exact"/>
              <w:jc w:val="center"/>
              <w:rPr>
                <w:rFonts w:hint="eastAsia" w:ascii="仿宋" w:hAnsi="仿宋" w:eastAsia="仿宋" w:cs="Courier New"/>
                <w:sz w:val="24"/>
              </w:rPr>
            </w:pPr>
            <w:r>
              <w:rPr>
                <w:rFonts w:hint="eastAsia" w:ascii="仿宋" w:hAnsi="仿宋" w:eastAsia="仿宋" w:cs="Courier New"/>
                <w:sz w:val="24"/>
              </w:rPr>
              <w:t>孟俊龙</w:t>
            </w:r>
          </w:p>
        </w:tc>
        <w:tc>
          <w:tcPr>
            <w:tcW w:w="993" w:type="dxa"/>
            <w:vAlign w:val="center"/>
          </w:tcPr>
          <w:p w14:paraId="73A2C5E5">
            <w:pPr>
              <w:spacing w:line="400" w:lineRule="exact"/>
              <w:jc w:val="center"/>
              <w:rPr>
                <w:rFonts w:hint="eastAsia" w:ascii="仿宋" w:hAnsi="仿宋" w:eastAsia="仿宋" w:cs="Courier New"/>
                <w:sz w:val="24"/>
              </w:rPr>
            </w:pPr>
            <w:r>
              <w:rPr>
                <w:rFonts w:hint="eastAsia" w:ascii="仿宋" w:hAnsi="仿宋" w:eastAsia="仿宋" w:cs="Courier New"/>
                <w:sz w:val="24"/>
              </w:rPr>
              <w:t>男</w:t>
            </w:r>
          </w:p>
        </w:tc>
        <w:tc>
          <w:tcPr>
            <w:tcW w:w="1772" w:type="dxa"/>
            <w:vAlign w:val="center"/>
          </w:tcPr>
          <w:p w14:paraId="4EE05B71">
            <w:pPr>
              <w:spacing w:line="400" w:lineRule="exact"/>
              <w:jc w:val="center"/>
              <w:rPr>
                <w:rFonts w:hint="eastAsia" w:ascii="仿宋" w:hAnsi="仿宋" w:eastAsia="仿宋" w:cs="Courier New"/>
                <w:sz w:val="24"/>
              </w:rPr>
            </w:pPr>
            <w:r>
              <w:rPr>
                <w:rFonts w:hint="eastAsia" w:ascii="仿宋" w:hAnsi="仿宋" w:eastAsia="仿宋" w:cs="Courier New"/>
                <w:sz w:val="24"/>
              </w:rPr>
              <w:t>系主任/教授</w:t>
            </w:r>
          </w:p>
        </w:tc>
        <w:tc>
          <w:tcPr>
            <w:tcW w:w="3401" w:type="dxa"/>
            <w:vAlign w:val="center"/>
          </w:tcPr>
          <w:p w14:paraId="4C7E585B">
            <w:pPr>
              <w:spacing w:line="400" w:lineRule="exact"/>
              <w:jc w:val="center"/>
              <w:rPr>
                <w:rFonts w:hint="eastAsia" w:ascii="仿宋" w:hAnsi="仿宋" w:eastAsia="仿宋" w:cs="Courier New"/>
                <w:sz w:val="24"/>
              </w:rPr>
            </w:pPr>
            <w:r>
              <w:rPr>
                <w:rFonts w:hint="eastAsia" w:ascii="仿宋" w:hAnsi="仿宋" w:eastAsia="仿宋" w:cs="Courier New"/>
                <w:sz w:val="24"/>
              </w:rPr>
              <w:t>山西农业大学</w:t>
            </w:r>
          </w:p>
        </w:tc>
        <w:tc>
          <w:tcPr>
            <w:tcW w:w="1263" w:type="dxa"/>
            <w:vAlign w:val="center"/>
          </w:tcPr>
          <w:p w14:paraId="08ED6332">
            <w:pPr>
              <w:spacing w:line="400" w:lineRule="exact"/>
              <w:jc w:val="center"/>
              <w:rPr>
                <w:rFonts w:hint="eastAsia" w:ascii="仿宋" w:hAnsi="仿宋" w:eastAsia="仿宋" w:cs="Courier New"/>
                <w:sz w:val="24"/>
              </w:rPr>
            </w:pPr>
            <w:r>
              <w:rPr>
                <w:rFonts w:hint="eastAsia" w:ascii="仿宋" w:hAnsi="仿宋" w:eastAsia="仿宋" w:cs="Courier New"/>
                <w:sz w:val="24"/>
              </w:rPr>
              <w:t>标准编制</w:t>
            </w:r>
          </w:p>
        </w:tc>
      </w:tr>
      <w:tr w14:paraId="6741A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BF2F830">
            <w:pPr>
              <w:spacing w:line="400" w:lineRule="exact"/>
              <w:jc w:val="center"/>
              <w:rPr>
                <w:rFonts w:hint="eastAsia" w:ascii="仿宋" w:hAnsi="仿宋" w:eastAsia="仿宋" w:cs="Courier New"/>
                <w:sz w:val="24"/>
                <w:lang w:val="en-US" w:eastAsia="zh-CN"/>
              </w:rPr>
            </w:pPr>
            <w:r>
              <w:rPr>
                <w:rFonts w:hint="eastAsia" w:ascii="仿宋" w:hAnsi="仿宋" w:eastAsia="仿宋" w:cs="Courier New"/>
                <w:sz w:val="24"/>
                <w:lang w:val="en-US" w:eastAsia="zh-CN"/>
              </w:rPr>
              <w:t>李 亮</w:t>
            </w:r>
          </w:p>
        </w:tc>
        <w:tc>
          <w:tcPr>
            <w:tcW w:w="993" w:type="dxa"/>
            <w:vAlign w:val="center"/>
          </w:tcPr>
          <w:p w14:paraId="740596CE">
            <w:pPr>
              <w:spacing w:line="400" w:lineRule="exact"/>
              <w:jc w:val="center"/>
              <w:rPr>
                <w:rFonts w:hint="eastAsia" w:ascii="仿宋" w:hAnsi="仿宋" w:eastAsia="仿宋" w:cs="Courier New"/>
                <w:sz w:val="24"/>
                <w:lang w:val="en-US" w:eastAsia="zh-CN"/>
              </w:rPr>
            </w:pPr>
            <w:r>
              <w:rPr>
                <w:rFonts w:hint="eastAsia" w:ascii="仿宋" w:hAnsi="仿宋" w:eastAsia="仿宋" w:cs="Courier New"/>
                <w:sz w:val="24"/>
                <w:lang w:val="en-US" w:eastAsia="zh-CN"/>
              </w:rPr>
              <w:t>男</w:t>
            </w:r>
          </w:p>
        </w:tc>
        <w:tc>
          <w:tcPr>
            <w:tcW w:w="1772" w:type="dxa"/>
            <w:vAlign w:val="center"/>
          </w:tcPr>
          <w:p w14:paraId="4577913B">
            <w:pPr>
              <w:spacing w:line="400" w:lineRule="exact"/>
              <w:jc w:val="center"/>
              <w:rPr>
                <w:rFonts w:hint="eastAsia" w:ascii="仿宋" w:hAnsi="仿宋" w:eastAsia="仿宋" w:cs="Courier New"/>
                <w:sz w:val="24"/>
                <w:lang w:eastAsia="zh-CN"/>
              </w:rPr>
            </w:pPr>
            <w:r>
              <w:rPr>
                <w:rFonts w:hint="eastAsia" w:ascii="仿宋" w:hAnsi="仿宋" w:eastAsia="仿宋" w:cs="Courier New"/>
                <w:sz w:val="24"/>
                <w:lang w:val="en-US" w:eastAsia="zh-CN"/>
              </w:rPr>
              <w:t>董事长</w:t>
            </w:r>
          </w:p>
        </w:tc>
        <w:tc>
          <w:tcPr>
            <w:tcW w:w="3401" w:type="dxa"/>
            <w:vAlign w:val="center"/>
          </w:tcPr>
          <w:p w14:paraId="1BF510BB">
            <w:pPr>
              <w:spacing w:line="400" w:lineRule="exact"/>
              <w:jc w:val="center"/>
              <w:rPr>
                <w:rFonts w:hint="default" w:ascii="仿宋" w:hAnsi="仿宋" w:eastAsia="仿宋" w:cs="Courier New"/>
                <w:sz w:val="24"/>
                <w:lang w:val="en-US" w:eastAsia="zh-CN"/>
              </w:rPr>
            </w:pPr>
            <w:r>
              <w:rPr>
                <w:rFonts w:hint="default" w:ascii="仿宋" w:hAnsi="仿宋" w:eastAsia="仿宋" w:cs="Courier New"/>
                <w:sz w:val="24"/>
                <w:lang w:val="en-US" w:eastAsia="zh-CN"/>
              </w:rPr>
              <w:t>交口县韦禾农业发展有限公司</w:t>
            </w:r>
          </w:p>
        </w:tc>
        <w:tc>
          <w:tcPr>
            <w:tcW w:w="1263" w:type="dxa"/>
            <w:vAlign w:val="center"/>
          </w:tcPr>
          <w:p w14:paraId="4C7EE749">
            <w:pPr>
              <w:spacing w:line="400" w:lineRule="exact"/>
              <w:jc w:val="center"/>
              <w:rPr>
                <w:rFonts w:hint="eastAsia" w:ascii="仿宋" w:hAnsi="仿宋" w:eastAsia="仿宋" w:cs="Courier New"/>
                <w:sz w:val="24"/>
              </w:rPr>
            </w:pPr>
            <w:r>
              <w:rPr>
                <w:rFonts w:hint="eastAsia" w:ascii="仿宋" w:hAnsi="仿宋" w:eastAsia="仿宋" w:cs="Courier New"/>
                <w:sz w:val="24"/>
              </w:rPr>
              <w:t>标准调研</w:t>
            </w:r>
          </w:p>
        </w:tc>
      </w:tr>
      <w:tr w14:paraId="64575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3906CDC">
            <w:pPr>
              <w:spacing w:line="400" w:lineRule="exact"/>
              <w:jc w:val="center"/>
              <w:rPr>
                <w:rFonts w:hint="eastAsia" w:ascii="仿宋" w:hAnsi="仿宋" w:eastAsia="仿宋" w:cs="Courier New"/>
                <w:sz w:val="24"/>
              </w:rPr>
            </w:pPr>
            <w:r>
              <w:rPr>
                <w:rFonts w:hint="eastAsia" w:ascii="仿宋" w:hAnsi="仿宋" w:eastAsia="仿宋" w:cs="Courier New"/>
                <w:sz w:val="24"/>
              </w:rPr>
              <w:t>赵 斌</w:t>
            </w:r>
          </w:p>
        </w:tc>
        <w:tc>
          <w:tcPr>
            <w:tcW w:w="993" w:type="dxa"/>
            <w:vAlign w:val="center"/>
          </w:tcPr>
          <w:p w14:paraId="3154F944">
            <w:pPr>
              <w:spacing w:line="400" w:lineRule="exact"/>
              <w:jc w:val="center"/>
              <w:rPr>
                <w:rFonts w:hint="eastAsia" w:ascii="仿宋" w:hAnsi="仿宋" w:eastAsia="仿宋" w:cs="Courier New"/>
                <w:sz w:val="24"/>
              </w:rPr>
            </w:pPr>
            <w:r>
              <w:rPr>
                <w:rFonts w:hint="eastAsia" w:ascii="仿宋" w:hAnsi="仿宋" w:eastAsia="仿宋" w:cs="Courier New"/>
                <w:sz w:val="24"/>
              </w:rPr>
              <w:t>男</w:t>
            </w:r>
          </w:p>
        </w:tc>
        <w:tc>
          <w:tcPr>
            <w:tcW w:w="1772" w:type="dxa"/>
            <w:vAlign w:val="center"/>
          </w:tcPr>
          <w:p w14:paraId="180CD284">
            <w:pPr>
              <w:spacing w:line="400" w:lineRule="exact"/>
              <w:jc w:val="center"/>
              <w:rPr>
                <w:rFonts w:hint="eastAsia" w:ascii="仿宋" w:hAnsi="仿宋" w:eastAsia="仿宋" w:cs="Courier New"/>
                <w:sz w:val="24"/>
              </w:rPr>
            </w:pPr>
            <w:r>
              <w:rPr>
                <w:rFonts w:hint="eastAsia" w:ascii="仿宋" w:hAnsi="仿宋" w:eastAsia="仿宋" w:cs="Courier New"/>
                <w:sz w:val="24"/>
                <w:lang w:val="en-US" w:eastAsia="zh-CN"/>
              </w:rPr>
              <w:t>董事长</w:t>
            </w:r>
          </w:p>
        </w:tc>
        <w:tc>
          <w:tcPr>
            <w:tcW w:w="3401" w:type="dxa"/>
            <w:vAlign w:val="center"/>
          </w:tcPr>
          <w:p w14:paraId="682266CD">
            <w:pPr>
              <w:spacing w:line="400" w:lineRule="exact"/>
              <w:jc w:val="center"/>
              <w:rPr>
                <w:rFonts w:hint="eastAsia" w:ascii="仿宋" w:hAnsi="仿宋" w:eastAsia="仿宋" w:cs="Courier New"/>
                <w:sz w:val="24"/>
              </w:rPr>
            </w:pPr>
            <w:r>
              <w:rPr>
                <w:rFonts w:hint="eastAsia" w:ascii="仿宋" w:hAnsi="仿宋" w:eastAsia="仿宋" w:cs="Courier New"/>
                <w:sz w:val="24"/>
              </w:rPr>
              <w:t>广灵县北野食用菌业开发有限责任公司</w:t>
            </w:r>
          </w:p>
        </w:tc>
        <w:tc>
          <w:tcPr>
            <w:tcW w:w="1263" w:type="dxa"/>
            <w:vAlign w:val="center"/>
          </w:tcPr>
          <w:p w14:paraId="48B5D00F">
            <w:pPr>
              <w:spacing w:line="400" w:lineRule="exact"/>
              <w:jc w:val="center"/>
              <w:rPr>
                <w:rFonts w:hint="eastAsia" w:ascii="仿宋" w:hAnsi="仿宋" w:eastAsia="仿宋" w:cs="Courier New"/>
                <w:sz w:val="24"/>
              </w:rPr>
            </w:pPr>
            <w:r>
              <w:rPr>
                <w:rFonts w:hint="eastAsia" w:ascii="仿宋" w:hAnsi="仿宋" w:eastAsia="仿宋" w:cs="Courier New"/>
                <w:sz w:val="24"/>
              </w:rPr>
              <w:t>标准调研</w:t>
            </w:r>
          </w:p>
        </w:tc>
      </w:tr>
      <w:tr w14:paraId="6192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6D36A1C">
            <w:pPr>
              <w:spacing w:line="400" w:lineRule="exact"/>
              <w:jc w:val="center"/>
              <w:rPr>
                <w:rFonts w:hint="eastAsia" w:ascii="仿宋" w:hAnsi="仿宋" w:eastAsia="仿宋" w:cs="Courier New"/>
                <w:sz w:val="24"/>
              </w:rPr>
            </w:pPr>
            <w:r>
              <w:rPr>
                <w:rFonts w:hint="eastAsia" w:ascii="仿宋" w:hAnsi="仿宋" w:eastAsia="仿宋" w:cs="Courier New"/>
                <w:sz w:val="24"/>
              </w:rPr>
              <w:t>程红艳</w:t>
            </w:r>
          </w:p>
        </w:tc>
        <w:tc>
          <w:tcPr>
            <w:tcW w:w="993" w:type="dxa"/>
            <w:vAlign w:val="center"/>
          </w:tcPr>
          <w:p w14:paraId="09435DE2">
            <w:pPr>
              <w:spacing w:line="400" w:lineRule="exact"/>
              <w:jc w:val="center"/>
              <w:rPr>
                <w:rFonts w:hint="eastAsia" w:ascii="仿宋" w:hAnsi="仿宋" w:eastAsia="仿宋" w:cs="Courier New"/>
                <w:sz w:val="24"/>
              </w:rPr>
            </w:pPr>
            <w:r>
              <w:rPr>
                <w:rFonts w:hint="eastAsia" w:ascii="仿宋" w:hAnsi="仿宋" w:eastAsia="仿宋" w:cs="Courier New"/>
                <w:sz w:val="24"/>
              </w:rPr>
              <w:t>女</w:t>
            </w:r>
          </w:p>
        </w:tc>
        <w:tc>
          <w:tcPr>
            <w:tcW w:w="1772" w:type="dxa"/>
            <w:vAlign w:val="center"/>
          </w:tcPr>
          <w:p w14:paraId="557FB284">
            <w:pPr>
              <w:spacing w:line="400" w:lineRule="exact"/>
              <w:jc w:val="center"/>
              <w:rPr>
                <w:rFonts w:hint="eastAsia" w:ascii="仿宋" w:hAnsi="仿宋" w:eastAsia="仿宋" w:cs="Courier New"/>
                <w:sz w:val="24"/>
              </w:rPr>
            </w:pPr>
            <w:r>
              <w:rPr>
                <w:rFonts w:hint="eastAsia" w:ascii="仿宋" w:hAnsi="仿宋" w:eastAsia="仿宋" w:cs="Courier New"/>
                <w:sz w:val="24"/>
              </w:rPr>
              <w:t>教授</w:t>
            </w:r>
          </w:p>
        </w:tc>
        <w:tc>
          <w:tcPr>
            <w:tcW w:w="3401" w:type="dxa"/>
            <w:vAlign w:val="center"/>
          </w:tcPr>
          <w:p w14:paraId="447329A7">
            <w:pPr>
              <w:spacing w:line="400" w:lineRule="exact"/>
              <w:jc w:val="center"/>
              <w:rPr>
                <w:rFonts w:hint="eastAsia" w:ascii="仿宋" w:hAnsi="仿宋" w:eastAsia="仿宋" w:cs="Courier New"/>
                <w:sz w:val="24"/>
              </w:rPr>
            </w:pPr>
            <w:r>
              <w:rPr>
                <w:rFonts w:hint="eastAsia" w:ascii="仿宋" w:hAnsi="仿宋" w:eastAsia="仿宋" w:cs="Courier New"/>
                <w:sz w:val="24"/>
              </w:rPr>
              <w:t>山西农业大学</w:t>
            </w:r>
          </w:p>
        </w:tc>
        <w:tc>
          <w:tcPr>
            <w:tcW w:w="1263" w:type="dxa"/>
            <w:vAlign w:val="center"/>
          </w:tcPr>
          <w:p w14:paraId="50A42801">
            <w:pPr>
              <w:spacing w:line="400" w:lineRule="exact"/>
              <w:jc w:val="center"/>
              <w:rPr>
                <w:rFonts w:hint="eastAsia" w:ascii="仿宋" w:hAnsi="仿宋" w:eastAsia="仿宋" w:cs="Courier New"/>
                <w:sz w:val="24"/>
              </w:rPr>
            </w:pPr>
            <w:r>
              <w:rPr>
                <w:rFonts w:hint="eastAsia" w:ascii="仿宋" w:hAnsi="仿宋" w:eastAsia="仿宋" w:cs="Courier New"/>
                <w:sz w:val="24"/>
              </w:rPr>
              <w:t>标准编制</w:t>
            </w:r>
          </w:p>
        </w:tc>
      </w:tr>
      <w:tr w14:paraId="73BD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E00E965">
            <w:pPr>
              <w:spacing w:line="400" w:lineRule="exact"/>
              <w:jc w:val="center"/>
              <w:rPr>
                <w:rFonts w:hint="eastAsia" w:ascii="仿宋" w:hAnsi="仿宋" w:eastAsia="仿宋" w:cs="Courier New"/>
                <w:sz w:val="24"/>
              </w:rPr>
            </w:pPr>
            <w:r>
              <w:rPr>
                <w:rFonts w:hint="eastAsia" w:ascii="仿宋" w:hAnsi="仿宋" w:eastAsia="仿宋" w:cs="Courier New"/>
                <w:sz w:val="24"/>
              </w:rPr>
              <w:t>冯翠萍</w:t>
            </w:r>
          </w:p>
        </w:tc>
        <w:tc>
          <w:tcPr>
            <w:tcW w:w="993" w:type="dxa"/>
            <w:vAlign w:val="center"/>
          </w:tcPr>
          <w:p w14:paraId="48F553CA">
            <w:pPr>
              <w:spacing w:line="400" w:lineRule="exact"/>
              <w:jc w:val="center"/>
              <w:rPr>
                <w:rFonts w:hint="eastAsia" w:ascii="仿宋" w:hAnsi="仿宋" w:eastAsia="仿宋" w:cs="Courier New"/>
                <w:sz w:val="24"/>
              </w:rPr>
            </w:pPr>
            <w:r>
              <w:rPr>
                <w:rFonts w:hint="eastAsia" w:ascii="仿宋" w:hAnsi="仿宋" w:eastAsia="仿宋" w:cs="Courier New"/>
                <w:sz w:val="24"/>
              </w:rPr>
              <w:t>女</w:t>
            </w:r>
          </w:p>
        </w:tc>
        <w:tc>
          <w:tcPr>
            <w:tcW w:w="1772" w:type="dxa"/>
            <w:vAlign w:val="center"/>
          </w:tcPr>
          <w:p w14:paraId="227D6802">
            <w:pPr>
              <w:spacing w:line="400" w:lineRule="exact"/>
              <w:jc w:val="center"/>
              <w:rPr>
                <w:rFonts w:hint="eastAsia" w:ascii="仿宋" w:hAnsi="仿宋" w:eastAsia="仿宋" w:cs="Courier New"/>
                <w:sz w:val="24"/>
              </w:rPr>
            </w:pPr>
            <w:r>
              <w:rPr>
                <w:rFonts w:hint="eastAsia" w:ascii="仿宋" w:hAnsi="仿宋" w:eastAsia="仿宋" w:cs="Courier New"/>
                <w:sz w:val="24"/>
              </w:rPr>
              <w:t>副院长/教授</w:t>
            </w:r>
          </w:p>
        </w:tc>
        <w:tc>
          <w:tcPr>
            <w:tcW w:w="3401" w:type="dxa"/>
            <w:vAlign w:val="center"/>
          </w:tcPr>
          <w:p w14:paraId="282557B1">
            <w:pPr>
              <w:spacing w:line="400" w:lineRule="exact"/>
              <w:jc w:val="center"/>
              <w:rPr>
                <w:rFonts w:hint="eastAsia" w:ascii="仿宋" w:hAnsi="仿宋" w:eastAsia="仿宋" w:cs="Courier New"/>
                <w:sz w:val="24"/>
              </w:rPr>
            </w:pPr>
            <w:r>
              <w:rPr>
                <w:rFonts w:hint="eastAsia" w:ascii="仿宋" w:hAnsi="仿宋" w:eastAsia="仿宋" w:cs="Courier New"/>
                <w:sz w:val="24"/>
              </w:rPr>
              <w:t>山西农业大学</w:t>
            </w:r>
          </w:p>
        </w:tc>
        <w:tc>
          <w:tcPr>
            <w:tcW w:w="1263" w:type="dxa"/>
            <w:vAlign w:val="center"/>
          </w:tcPr>
          <w:p w14:paraId="26CCE47B">
            <w:pPr>
              <w:spacing w:line="400" w:lineRule="exact"/>
              <w:jc w:val="center"/>
              <w:rPr>
                <w:rFonts w:hint="eastAsia" w:ascii="仿宋" w:hAnsi="仿宋" w:eastAsia="仿宋" w:cs="Courier New"/>
                <w:sz w:val="24"/>
              </w:rPr>
            </w:pPr>
            <w:r>
              <w:rPr>
                <w:rFonts w:hint="eastAsia" w:ascii="仿宋" w:hAnsi="仿宋" w:eastAsia="仿宋" w:cs="Courier New"/>
                <w:sz w:val="24"/>
              </w:rPr>
              <w:t>标准编制</w:t>
            </w:r>
          </w:p>
        </w:tc>
      </w:tr>
      <w:tr w14:paraId="6C1F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19D566A">
            <w:pPr>
              <w:spacing w:line="400" w:lineRule="exact"/>
              <w:jc w:val="center"/>
              <w:rPr>
                <w:rFonts w:hint="eastAsia" w:ascii="仿宋" w:hAnsi="仿宋" w:eastAsia="仿宋" w:cs="Courier New"/>
                <w:sz w:val="24"/>
              </w:rPr>
            </w:pPr>
            <w:r>
              <w:rPr>
                <w:rFonts w:hint="eastAsia" w:ascii="仿宋" w:hAnsi="仿宋" w:eastAsia="仿宋" w:cs="Courier New"/>
                <w:sz w:val="24"/>
              </w:rPr>
              <w:t>程艳芬</w:t>
            </w:r>
          </w:p>
        </w:tc>
        <w:tc>
          <w:tcPr>
            <w:tcW w:w="993" w:type="dxa"/>
            <w:vAlign w:val="center"/>
          </w:tcPr>
          <w:p w14:paraId="42913B93">
            <w:pPr>
              <w:spacing w:line="400" w:lineRule="exact"/>
              <w:jc w:val="center"/>
              <w:rPr>
                <w:rFonts w:hint="eastAsia" w:ascii="仿宋" w:hAnsi="仿宋" w:eastAsia="仿宋" w:cs="Courier New"/>
                <w:sz w:val="24"/>
              </w:rPr>
            </w:pPr>
            <w:r>
              <w:rPr>
                <w:rFonts w:hint="eastAsia" w:ascii="仿宋" w:hAnsi="仿宋" w:eastAsia="仿宋" w:cs="Courier New"/>
                <w:sz w:val="24"/>
              </w:rPr>
              <w:t>女</w:t>
            </w:r>
          </w:p>
        </w:tc>
        <w:tc>
          <w:tcPr>
            <w:tcW w:w="1772" w:type="dxa"/>
            <w:vAlign w:val="center"/>
          </w:tcPr>
          <w:p w14:paraId="0E84B083">
            <w:pPr>
              <w:spacing w:line="400" w:lineRule="exact"/>
              <w:jc w:val="center"/>
              <w:rPr>
                <w:rFonts w:hint="eastAsia" w:ascii="仿宋" w:hAnsi="仿宋" w:eastAsia="仿宋" w:cs="Courier New"/>
                <w:sz w:val="24"/>
              </w:rPr>
            </w:pPr>
            <w:r>
              <w:rPr>
                <w:rFonts w:hint="eastAsia" w:ascii="仿宋" w:hAnsi="仿宋" w:eastAsia="仿宋" w:cs="Courier New"/>
                <w:sz w:val="24"/>
              </w:rPr>
              <w:t>副教授</w:t>
            </w:r>
          </w:p>
        </w:tc>
        <w:tc>
          <w:tcPr>
            <w:tcW w:w="3401" w:type="dxa"/>
            <w:vAlign w:val="center"/>
          </w:tcPr>
          <w:p w14:paraId="5A25AA91">
            <w:pPr>
              <w:spacing w:line="400" w:lineRule="exact"/>
              <w:jc w:val="center"/>
              <w:rPr>
                <w:rFonts w:hint="eastAsia" w:ascii="仿宋" w:hAnsi="仿宋" w:eastAsia="仿宋" w:cs="Courier New"/>
                <w:sz w:val="24"/>
              </w:rPr>
            </w:pPr>
            <w:r>
              <w:rPr>
                <w:rFonts w:hint="eastAsia" w:ascii="仿宋" w:hAnsi="仿宋" w:eastAsia="仿宋" w:cs="Courier New"/>
                <w:sz w:val="24"/>
              </w:rPr>
              <w:t>山西农业大学</w:t>
            </w:r>
          </w:p>
        </w:tc>
        <w:tc>
          <w:tcPr>
            <w:tcW w:w="1263" w:type="dxa"/>
            <w:vAlign w:val="center"/>
          </w:tcPr>
          <w:p w14:paraId="5A1B7AEF">
            <w:pPr>
              <w:spacing w:line="400" w:lineRule="exact"/>
              <w:jc w:val="center"/>
              <w:rPr>
                <w:rFonts w:hint="eastAsia" w:ascii="仿宋" w:hAnsi="仿宋" w:eastAsia="仿宋" w:cs="Courier New"/>
                <w:sz w:val="24"/>
              </w:rPr>
            </w:pPr>
            <w:r>
              <w:rPr>
                <w:rFonts w:hint="eastAsia" w:ascii="仿宋" w:hAnsi="仿宋" w:eastAsia="仿宋" w:cs="Courier New"/>
                <w:sz w:val="24"/>
              </w:rPr>
              <w:t>标准调研</w:t>
            </w:r>
          </w:p>
        </w:tc>
      </w:tr>
      <w:tr w14:paraId="378A6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10DB9AD">
            <w:pPr>
              <w:spacing w:line="400" w:lineRule="exact"/>
              <w:jc w:val="center"/>
              <w:rPr>
                <w:rFonts w:hint="eastAsia" w:ascii="仿宋" w:hAnsi="仿宋" w:eastAsia="仿宋" w:cs="Courier New"/>
                <w:sz w:val="24"/>
              </w:rPr>
            </w:pPr>
            <w:r>
              <w:rPr>
                <w:rFonts w:hint="eastAsia" w:ascii="仿宋" w:hAnsi="仿宋" w:eastAsia="仿宋" w:cs="Courier New"/>
                <w:sz w:val="24"/>
              </w:rPr>
              <w:t>耿雪冉</w:t>
            </w:r>
          </w:p>
        </w:tc>
        <w:tc>
          <w:tcPr>
            <w:tcW w:w="993" w:type="dxa"/>
            <w:vAlign w:val="center"/>
          </w:tcPr>
          <w:p w14:paraId="25283F11">
            <w:pPr>
              <w:spacing w:line="400" w:lineRule="exact"/>
              <w:jc w:val="center"/>
              <w:rPr>
                <w:rFonts w:hint="eastAsia" w:ascii="仿宋" w:hAnsi="仿宋" w:eastAsia="仿宋" w:cs="Courier New"/>
                <w:sz w:val="24"/>
              </w:rPr>
            </w:pPr>
            <w:r>
              <w:rPr>
                <w:rFonts w:hint="eastAsia" w:ascii="仿宋" w:hAnsi="仿宋" w:eastAsia="仿宋" w:cs="Courier New"/>
                <w:sz w:val="24"/>
              </w:rPr>
              <w:t>女</w:t>
            </w:r>
          </w:p>
        </w:tc>
        <w:tc>
          <w:tcPr>
            <w:tcW w:w="1772" w:type="dxa"/>
            <w:vAlign w:val="center"/>
          </w:tcPr>
          <w:p w14:paraId="72F6E0BE">
            <w:pPr>
              <w:spacing w:line="400" w:lineRule="exact"/>
              <w:jc w:val="center"/>
              <w:rPr>
                <w:rFonts w:hint="eastAsia" w:ascii="仿宋" w:hAnsi="仿宋" w:eastAsia="仿宋" w:cs="Courier New"/>
                <w:sz w:val="24"/>
              </w:rPr>
            </w:pPr>
            <w:r>
              <w:rPr>
                <w:rFonts w:hint="eastAsia" w:ascii="仿宋" w:hAnsi="仿宋" w:eastAsia="仿宋" w:cs="Courier New"/>
                <w:sz w:val="24"/>
              </w:rPr>
              <w:t>副教授</w:t>
            </w:r>
          </w:p>
        </w:tc>
        <w:tc>
          <w:tcPr>
            <w:tcW w:w="3401" w:type="dxa"/>
            <w:vAlign w:val="center"/>
          </w:tcPr>
          <w:p w14:paraId="410CE85F">
            <w:pPr>
              <w:spacing w:line="400" w:lineRule="exact"/>
              <w:jc w:val="center"/>
              <w:rPr>
                <w:rFonts w:hint="eastAsia" w:ascii="仿宋" w:hAnsi="仿宋" w:eastAsia="仿宋" w:cs="Courier New"/>
                <w:sz w:val="24"/>
              </w:rPr>
            </w:pPr>
            <w:r>
              <w:rPr>
                <w:rFonts w:hint="eastAsia" w:ascii="仿宋" w:hAnsi="仿宋" w:eastAsia="仿宋" w:cs="Courier New"/>
                <w:sz w:val="24"/>
              </w:rPr>
              <w:t>山西农业大学</w:t>
            </w:r>
          </w:p>
        </w:tc>
        <w:tc>
          <w:tcPr>
            <w:tcW w:w="1263" w:type="dxa"/>
            <w:vAlign w:val="center"/>
          </w:tcPr>
          <w:p w14:paraId="414213DE">
            <w:pPr>
              <w:spacing w:line="400" w:lineRule="exact"/>
              <w:jc w:val="center"/>
              <w:rPr>
                <w:rFonts w:hint="eastAsia" w:ascii="仿宋" w:hAnsi="仿宋" w:eastAsia="仿宋" w:cs="Courier New"/>
                <w:sz w:val="24"/>
              </w:rPr>
            </w:pPr>
            <w:r>
              <w:rPr>
                <w:rFonts w:hint="eastAsia" w:ascii="仿宋" w:hAnsi="仿宋" w:eastAsia="仿宋" w:cs="Courier New"/>
                <w:sz w:val="24"/>
              </w:rPr>
              <w:t>标准编制</w:t>
            </w:r>
          </w:p>
        </w:tc>
      </w:tr>
      <w:tr w14:paraId="2598B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97B4A8C">
            <w:pPr>
              <w:spacing w:line="400" w:lineRule="exact"/>
              <w:jc w:val="center"/>
              <w:rPr>
                <w:rFonts w:hint="eastAsia" w:ascii="仿宋" w:hAnsi="仿宋" w:eastAsia="仿宋" w:cs="Courier New"/>
                <w:sz w:val="24"/>
              </w:rPr>
            </w:pPr>
            <w:r>
              <w:rPr>
                <w:rFonts w:hint="eastAsia" w:ascii="仿宋" w:hAnsi="仿宋" w:eastAsia="仿宋" w:cs="Courier New"/>
                <w:sz w:val="24"/>
              </w:rPr>
              <w:t>邓  冰</w:t>
            </w:r>
          </w:p>
        </w:tc>
        <w:tc>
          <w:tcPr>
            <w:tcW w:w="993" w:type="dxa"/>
            <w:vAlign w:val="center"/>
          </w:tcPr>
          <w:p w14:paraId="5CC5D5BD">
            <w:pPr>
              <w:spacing w:line="400" w:lineRule="exact"/>
              <w:jc w:val="center"/>
              <w:rPr>
                <w:rFonts w:hint="eastAsia" w:ascii="仿宋" w:hAnsi="仿宋" w:eastAsia="仿宋" w:cs="Courier New"/>
                <w:sz w:val="24"/>
              </w:rPr>
            </w:pPr>
            <w:r>
              <w:rPr>
                <w:rFonts w:hint="eastAsia" w:ascii="仿宋" w:hAnsi="仿宋" w:eastAsia="仿宋" w:cs="Courier New"/>
                <w:sz w:val="24"/>
              </w:rPr>
              <w:t>男</w:t>
            </w:r>
          </w:p>
        </w:tc>
        <w:tc>
          <w:tcPr>
            <w:tcW w:w="1772" w:type="dxa"/>
            <w:vAlign w:val="center"/>
          </w:tcPr>
          <w:p w14:paraId="258928B6">
            <w:pPr>
              <w:spacing w:line="400" w:lineRule="exact"/>
              <w:jc w:val="center"/>
              <w:rPr>
                <w:rFonts w:hint="eastAsia" w:ascii="仿宋" w:hAnsi="仿宋" w:eastAsia="仿宋" w:cs="Courier New"/>
                <w:sz w:val="24"/>
              </w:rPr>
            </w:pPr>
            <w:r>
              <w:rPr>
                <w:rFonts w:hint="eastAsia" w:ascii="仿宋" w:hAnsi="仿宋" w:eastAsia="仿宋" w:cs="Courier New"/>
                <w:sz w:val="24"/>
              </w:rPr>
              <w:t>副教授</w:t>
            </w:r>
          </w:p>
        </w:tc>
        <w:tc>
          <w:tcPr>
            <w:tcW w:w="3401" w:type="dxa"/>
            <w:vAlign w:val="center"/>
          </w:tcPr>
          <w:p w14:paraId="47AA99A5">
            <w:pPr>
              <w:spacing w:line="400" w:lineRule="exact"/>
              <w:jc w:val="center"/>
              <w:rPr>
                <w:rFonts w:hint="eastAsia" w:ascii="仿宋" w:hAnsi="仿宋" w:eastAsia="仿宋" w:cs="Courier New"/>
                <w:sz w:val="24"/>
              </w:rPr>
            </w:pPr>
            <w:r>
              <w:rPr>
                <w:rFonts w:hint="eastAsia" w:ascii="仿宋" w:hAnsi="仿宋" w:eastAsia="仿宋" w:cs="Courier New"/>
                <w:sz w:val="24"/>
              </w:rPr>
              <w:t>山西农业大学</w:t>
            </w:r>
          </w:p>
        </w:tc>
        <w:tc>
          <w:tcPr>
            <w:tcW w:w="1263" w:type="dxa"/>
            <w:vAlign w:val="center"/>
          </w:tcPr>
          <w:p w14:paraId="388BA2B8">
            <w:pPr>
              <w:spacing w:line="400" w:lineRule="exact"/>
              <w:jc w:val="center"/>
              <w:rPr>
                <w:rFonts w:hint="eastAsia" w:ascii="仿宋" w:hAnsi="仿宋" w:eastAsia="仿宋" w:cs="Courier New"/>
                <w:sz w:val="24"/>
              </w:rPr>
            </w:pPr>
            <w:r>
              <w:rPr>
                <w:rFonts w:hint="eastAsia" w:ascii="仿宋" w:hAnsi="仿宋" w:eastAsia="仿宋" w:cs="Courier New"/>
                <w:sz w:val="24"/>
              </w:rPr>
              <w:t>标准调研</w:t>
            </w:r>
          </w:p>
        </w:tc>
      </w:tr>
      <w:tr w14:paraId="18A5B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5BE14B4">
            <w:pPr>
              <w:spacing w:line="400" w:lineRule="exact"/>
              <w:jc w:val="center"/>
              <w:rPr>
                <w:rFonts w:hint="eastAsia" w:ascii="仿宋" w:hAnsi="仿宋" w:eastAsia="仿宋" w:cs="Courier New"/>
                <w:sz w:val="24"/>
              </w:rPr>
            </w:pPr>
            <w:r>
              <w:rPr>
                <w:rFonts w:hint="eastAsia" w:ascii="仿宋" w:hAnsi="仿宋" w:eastAsia="仿宋" w:cs="Courier New"/>
                <w:sz w:val="24"/>
              </w:rPr>
              <w:t>杨  杰</w:t>
            </w:r>
          </w:p>
        </w:tc>
        <w:tc>
          <w:tcPr>
            <w:tcW w:w="993" w:type="dxa"/>
            <w:vAlign w:val="center"/>
          </w:tcPr>
          <w:p w14:paraId="1679AEDE">
            <w:pPr>
              <w:spacing w:line="400" w:lineRule="exact"/>
              <w:jc w:val="center"/>
              <w:rPr>
                <w:rFonts w:hint="eastAsia" w:ascii="仿宋" w:hAnsi="仿宋" w:eastAsia="仿宋" w:cs="Courier New"/>
                <w:sz w:val="24"/>
              </w:rPr>
            </w:pPr>
            <w:r>
              <w:rPr>
                <w:rFonts w:hint="eastAsia" w:ascii="仿宋" w:hAnsi="仿宋" w:eastAsia="仿宋" w:cs="Courier New"/>
                <w:sz w:val="24"/>
              </w:rPr>
              <w:t>男</w:t>
            </w:r>
          </w:p>
        </w:tc>
        <w:tc>
          <w:tcPr>
            <w:tcW w:w="1772" w:type="dxa"/>
            <w:vAlign w:val="center"/>
          </w:tcPr>
          <w:p w14:paraId="433F0A9C">
            <w:pPr>
              <w:spacing w:line="400" w:lineRule="exact"/>
              <w:jc w:val="center"/>
              <w:rPr>
                <w:rFonts w:hint="eastAsia" w:ascii="仿宋" w:hAnsi="仿宋" w:eastAsia="仿宋" w:cs="Courier New"/>
                <w:sz w:val="24"/>
              </w:rPr>
            </w:pPr>
            <w:r>
              <w:rPr>
                <w:rFonts w:hint="eastAsia" w:ascii="仿宋" w:hAnsi="仿宋" w:eastAsia="仿宋" w:cs="Courier New"/>
                <w:sz w:val="24"/>
              </w:rPr>
              <w:t>副研究员</w:t>
            </w:r>
          </w:p>
        </w:tc>
        <w:tc>
          <w:tcPr>
            <w:tcW w:w="3401" w:type="dxa"/>
            <w:vAlign w:val="center"/>
          </w:tcPr>
          <w:p w14:paraId="061D54A5">
            <w:pPr>
              <w:spacing w:line="400" w:lineRule="exact"/>
              <w:jc w:val="center"/>
              <w:rPr>
                <w:rFonts w:hint="eastAsia" w:ascii="仿宋" w:hAnsi="仿宋" w:eastAsia="仿宋" w:cs="Courier New"/>
                <w:sz w:val="24"/>
              </w:rPr>
            </w:pPr>
            <w:r>
              <w:rPr>
                <w:rFonts w:hint="eastAsia" w:ascii="仿宋" w:hAnsi="仿宋" w:eastAsia="仿宋" w:cs="Courier New"/>
                <w:sz w:val="24"/>
              </w:rPr>
              <w:t>山西农业大学</w:t>
            </w:r>
          </w:p>
        </w:tc>
        <w:tc>
          <w:tcPr>
            <w:tcW w:w="1263" w:type="dxa"/>
            <w:vAlign w:val="center"/>
          </w:tcPr>
          <w:p w14:paraId="05BFC5B6">
            <w:pPr>
              <w:spacing w:line="400" w:lineRule="exact"/>
              <w:jc w:val="center"/>
              <w:rPr>
                <w:rFonts w:hint="eastAsia" w:ascii="仿宋" w:hAnsi="仿宋" w:eastAsia="仿宋" w:cs="Courier New"/>
                <w:sz w:val="24"/>
              </w:rPr>
            </w:pPr>
            <w:r>
              <w:rPr>
                <w:rFonts w:hint="eastAsia" w:ascii="仿宋" w:hAnsi="仿宋" w:eastAsia="仿宋" w:cs="Courier New"/>
                <w:sz w:val="24"/>
              </w:rPr>
              <w:t>标准编制</w:t>
            </w:r>
          </w:p>
        </w:tc>
      </w:tr>
    </w:tbl>
    <w:p w14:paraId="43AF7CE5">
      <w:pPr>
        <w:spacing w:line="360" w:lineRule="auto"/>
        <w:ind w:firstLine="480" w:firstLineChars="200"/>
        <w:outlineLvl w:val="0"/>
        <w:rPr>
          <w:rFonts w:ascii="楷体" w:hAnsi="楷体" w:eastAsia="楷体" w:cs="Courier New"/>
          <w:sz w:val="28"/>
          <w:szCs w:val="28"/>
        </w:rPr>
      </w:pPr>
      <w:r>
        <w:rPr>
          <w:rFonts w:ascii="黑体" w:eastAsia="黑体"/>
          <w:sz w:val="24"/>
        </w:rPr>
        <w:t>二、</w:t>
      </w:r>
      <w:r>
        <w:rPr>
          <w:rFonts w:hint="eastAsia" w:ascii="黑体" w:eastAsia="黑体"/>
          <w:sz w:val="24"/>
        </w:rPr>
        <w:t>制</w:t>
      </w:r>
      <w:r>
        <w:rPr>
          <w:rFonts w:ascii="黑体" w:eastAsia="黑体"/>
          <w:sz w:val="24"/>
        </w:rPr>
        <w:t>订标准的必要性和意义</w:t>
      </w:r>
    </w:p>
    <w:p w14:paraId="08A391EB">
      <w:pPr>
        <w:spacing w:line="360" w:lineRule="auto"/>
        <w:ind w:firstLine="480" w:firstLineChars="200"/>
        <w:rPr>
          <w:rFonts w:hint="eastAsia" w:ascii="仿宋_GB2312" w:hAnsi="仿宋" w:eastAsia="仿宋_GB2312"/>
          <w:sz w:val="24"/>
        </w:rPr>
      </w:pPr>
      <w:r>
        <w:rPr>
          <w:rFonts w:hint="eastAsia" w:ascii="仿宋_GB2312" w:hAnsi="仿宋" w:eastAsia="仿宋_GB2312"/>
          <w:sz w:val="24"/>
        </w:rPr>
        <w:t>香菇属于中低温型珍稀菇类，是我国生产和消费第一的食用菌种类，栽培技术起源于以海洋性气候的国家与地区，目前福建省、浙江和河南省仍是我国香菇的主产区。但由于香菇独特的生物学特性和北方地区的冷凉气候优势，近10年来，“南菇北移”已成为我国香菇产业发展的一个显著特征。近年来，我省夏季香菇生产的产量与品质逐年上升，目前已成为山西省食用菌产业发展的主力军。其中，广灵县北野食用菌业开发有限责任公司与交口县韦禾农业发展有限公司，跃居全国夏季香菇生产领导企业之一。临县全县已培育形成千山、丰林、众鑫等专业化夏季香菇生产企业，产业基地建设达62家，涉及12个乡镇39个村，生产种植规模达到1500万棒，被吕梁市确定为“食用菌产业基地县”，业已成长为我国夏季香菇生产的重要基地县之一。</w:t>
      </w:r>
    </w:p>
    <w:p w14:paraId="710778F8">
      <w:pPr>
        <w:spacing w:line="360" w:lineRule="auto"/>
        <w:ind w:firstLine="480" w:firstLineChars="200"/>
        <w:rPr>
          <w:rFonts w:hint="eastAsia" w:ascii="仿宋_GB2312" w:hAnsi="仿宋" w:eastAsia="仿宋_GB2312"/>
          <w:sz w:val="24"/>
        </w:rPr>
      </w:pPr>
      <w:r>
        <w:rPr>
          <w:rFonts w:hint="eastAsia" w:ascii="仿宋_GB2312" w:hAnsi="仿宋" w:eastAsia="仿宋_GB2312"/>
          <w:sz w:val="24"/>
        </w:rPr>
        <w:t>在我省夏季香菇产业快速发展的同时，由于我省大部分香菇生产地区模式照搬福建、河南等食用菌大省，与我省的气候条件和农业资源均存在较大的差异，从而导致的香菇生产混乱、比较效益低的产业问题也日益突出，然而目前为止，山西省夏季香菇栽培技术规程还是一个空白。为此，山西农业大学提出制定适合山西省的“夏季香菇生产技术规程”。这一标准的制定将着力解决我省夏季香菇生产过程中存在的由于栽培技术标准化程度低、管理精准化差等导致夏季香菇产量和品质参差不齐的问题，山西农业大学联合我省夏季香菇生产企业和主产县开展规范化、标准化生产，既保证了夏季香菇的质量，还增加了实体经济效益。这一标准的顺利实施将有力地促进我省香菇产业转型升级发展，同时，还将在我省农业结构调整、脱贫攻坚和乡村振兴战略中起到积极地推动作用。</w:t>
      </w:r>
    </w:p>
    <w:p w14:paraId="0709DBB7">
      <w:pPr>
        <w:spacing w:line="360" w:lineRule="auto"/>
        <w:ind w:firstLine="480" w:firstLineChars="200"/>
        <w:outlineLvl w:val="0"/>
        <w:rPr>
          <w:rFonts w:ascii="黑体" w:eastAsia="黑体"/>
          <w:sz w:val="24"/>
        </w:rPr>
      </w:pPr>
      <w:r>
        <w:rPr>
          <w:rFonts w:ascii="黑体" w:eastAsia="黑体"/>
          <w:sz w:val="24"/>
        </w:rPr>
        <w:t>三、</w:t>
      </w:r>
      <w:r>
        <w:rPr>
          <w:rFonts w:hint="eastAsia" w:ascii="黑体" w:eastAsia="黑体"/>
          <w:sz w:val="24"/>
        </w:rPr>
        <w:t>主要起草工作过程</w:t>
      </w:r>
    </w:p>
    <w:p w14:paraId="55312AED">
      <w:pPr>
        <w:spacing w:line="400" w:lineRule="exact"/>
        <w:ind w:firstLine="480" w:firstLineChars="200"/>
        <w:rPr>
          <w:rFonts w:hint="eastAsia" w:eastAsia="仿宋_GB2312"/>
          <w:bCs/>
          <w:sz w:val="24"/>
        </w:rPr>
      </w:pPr>
      <w:r>
        <w:rPr>
          <w:rFonts w:hint="eastAsia" w:eastAsia="仿宋_GB2312"/>
          <w:bCs/>
          <w:sz w:val="24"/>
        </w:rPr>
        <w:t>1、成立标准制订工作组</w:t>
      </w:r>
    </w:p>
    <w:p w14:paraId="1AD5A4B3">
      <w:pPr>
        <w:spacing w:line="400" w:lineRule="exact"/>
        <w:ind w:firstLine="480" w:firstLineChars="200"/>
        <w:rPr>
          <w:rFonts w:hint="eastAsia" w:eastAsia="仿宋_GB2312"/>
          <w:bCs/>
          <w:sz w:val="24"/>
        </w:rPr>
      </w:pPr>
      <w:r>
        <w:rPr>
          <w:rFonts w:hint="eastAsia" w:eastAsia="仿宋_GB2312"/>
          <w:bCs/>
          <w:sz w:val="24"/>
        </w:rPr>
        <w:t>2023年3月，《夏季香菇生产技术规程》被山西省市场监督管理局批准立项后，负责人刘靖宇教授召集山西农业大学、黄土高原食用菌山西省重点实验室、山西省食用菌协会、交口县韦禾农业发展有限公司、广灵县北野食用菌业开发有限责任公司等起草单位招集会议，成立标准起草小组，确定了主要起草人。</w:t>
      </w:r>
    </w:p>
    <w:p w14:paraId="1B9AC9E6">
      <w:pPr>
        <w:spacing w:line="400" w:lineRule="exact"/>
        <w:ind w:firstLine="480" w:firstLineChars="200"/>
        <w:rPr>
          <w:rFonts w:hint="eastAsia" w:eastAsia="仿宋_GB2312"/>
          <w:bCs/>
          <w:sz w:val="24"/>
        </w:rPr>
      </w:pPr>
      <w:r>
        <w:rPr>
          <w:rFonts w:hint="eastAsia" w:eastAsia="仿宋_GB2312"/>
          <w:bCs/>
          <w:sz w:val="24"/>
        </w:rPr>
        <w:t>2、调研考察</w:t>
      </w:r>
    </w:p>
    <w:p w14:paraId="29C5F730">
      <w:pPr>
        <w:spacing w:line="400" w:lineRule="exact"/>
        <w:ind w:firstLine="480" w:firstLineChars="200"/>
        <w:rPr>
          <w:rFonts w:hint="eastAsia" w:eastAsia="仿宋_GB2312"/>
          <w:bCs/>
          <w:sz w:val="24"/>
        </w:rPr>
      </w:pPr>
      <w:r>
        <w:rPr>
          <w:rFonts w:hint="eastAsia" w:eastAsia="仿宋_GB2312"/>
          <w:bCs/>
          <w:sz w:val="24"/>
        </w:rPr>
        <w:t>2023年4月至6月，编写组深入到广灵县北野食用菌业开发有限责任公司、交口县韦禾农业发展有限公司等香菇工厂化生产企业、农业合作社进行了实地调研，了解生产实际情况，探讨了当前灵芝生产存在的共性问题，并就问题的解决方案进行深入交流，对不同企业和专业合作社夏季香菇生产的各个环节进行比对和分析，获取生产一线基础资料。</w:t>
      </w:r>
    </w:p>
    <w:p w14:paraId="2BDF3F34">
      <w:pPr>
        <w:spacing w:line="400" w:lineRule="exact"/>
        <w:ind w:firstLine="480" w:firstLineChars="200"/>
        <w:rPr>
          <w:rFonts w:hint="eastAsia" w:eastAsia="仿宋_GB2312"/>
          <w:bCs/>
          <w:sz w:val="24"/>
        </w:rPr>
      </w:pPr>
      <w:r>
        <w:rPr>
          <w:rFonts w:hint="eastAsia" w:eastAsia="仿宋_GB2312"/>
          <w:bCs/>
          <w:sz w:val="24"/>
        </w:rPr>
        <w:t>3、收集资料</w:t>
      </w:r>
    </w:p>
    <w:p w14:paraId="7DEA4BFE">
      <w:pPr>
        <w:spacing w:line="400" w:lineRule="exact"/>
        <w:ind w:firstLine="480" w:firstLineChars="200"/>
        <w:rPr>
          <w:rFonts w:hint="eastAsia" w:eastAsia="仿宋_GB2312"/>
          <w:bCs/>
          <w:sz w:val="24"/>
        </w:rPr>
      </w:pPr>
      <w:r>
        <w:rPr>
          <w:rFonts w:hint="eastAsia" w:eastAsia="仿宋_GB2312"/>
          <w:bCs/>
          <w:sz w:val="24"/>
        </w:rPr>
        <w:t>2023年7月，标准起草工作组收集并学习了GB/T 1.1—2020《标准化工作导则  第1部分：标准化文件的结构和起草规则》的有关规定，积极参考和学习了《GB 7096 食品安全国家标准 食用菌及其制品》、《GB/T 12728 食用菌术语》、《GB 19170 香菇菌种》、《NY/T 528 食用菌菌种生产技术规程》、《NY/T 1935 食用菌栽培基质质量安全要求》、《NY/T 391 绿色食品 产地环境质量》以及《中华人民共和国农产品质量安全法》等有关文件定。此外，还收集了浙江、福建、河南、河北、青海等地香菇生产标准，了解其地区香菇生产的水平和现状。</w:t>
      </w:r>
    </w:p>
    <w:p w14:paraId="7E467535">
      <w:pPr>
        <w:spacing w:line="400" w:lineRule="exact"/>
        <w:ind w:firstLine="480" w:firstLineChars="200"/>
        <w:rPr>
          <w:rFonts w:hint="eastAsia" w:eastAsia="仿宋_GB2312"/>
          <w:bCs/>
          <w:sz w:val="24"/>
        </w:rPr>
      </w:pPr>
      <w:r>
        <w:rPr>
          <w:rFonts w:hint="eastAsia" w:eastAsia="仿宋_GB2312"/>
          <w:bCs/>
          <w:sz w:val="24"/>
        </w:rPr>
        <w:t>4、制订文本</w:t>
      </w:r>
    </w:p>
    <w:p w14:paraId="247C6216">
      <w:pPr>
        <w:spacing w:line="400" w:lineRule="exact"/>
        <w:ind w:firstLine="480" w:firstLineChars="200"/>
        <w:rPr>
          <w:rFonts w:hint="eastAsia" w:eastAsia="仿宋_GB2312"/>
          <w:bCs/>
          <w:sz w:val="24"/>
        </w:rPr>
      </w:pPr>
      <w:r>
        <w:rPr>
          <w:rFonts w:hint="eastAsia" w:eastAsia="仿宋_GB2312"/>
          <w:bCs/>
          <w:sz w:val="24"/>
        </w:rPr>
        <w:t>2023年8月，标准编写组归纳总结我省现阶段夏季香菇生产现状，结合关键参数的实验数据，初步确立了标准的修订的基本框架和内容。结合课题组相关内容的试验研究结果和在生产实际中调查、归纳整理的数据，形成了工作组讨论稿。在重新凝练了术语及相关表达后，经过编制小组各成员进一步修改和完善， 征求意见稿。</w:t>
      </w:r>
    </w:p>
    <w:p w14:paraId="0F3A5922">
      <w:pPr>
        <w:spacing w:line="400" w:lineRule="exact"/>
        <w:ind w:firstLine="480" w:firstLineChars="200"/>
        <w:rPr>
          <w:rFonts w:hint="eastAsia" w:eastAsia="仿宋_GB2312"/>
          <w:bCs/>
          <w:sz w:val="24"/>
        </w:rPr>
      </w:pPr>
      <w:r>
        <w:rPr>
          <w:rFonts w:hint="eastAsia" w:eastAsia="仿宋_GB2312"/>
          <w:bCs/>
          <w:sz w:val="24"/>
        </w:rPr>
        <w:t>2023年9月，向山西省农业厅、山西农业大学（省农科院）等主管部门、高校、科研院所本领域相关专家以及各企业发函，征集各方意见。将征集到的意见进行汇总和分析后，并征求意见稿进行再次修改和调整，形成送审稿。</w:t>
      </w:r>
    </w:p>
    <w:p w14:paraId="7B851744">
      <w:pPr>
        <w:spacing w:line="400" w:lineRule="exact"/>
        <w:ind w:firstLine="480" w:firstLineChars="200"/>
        <w:rPr>
          <w:rFonts w:hint="eastAsia" w:eastAsia="仿宋_GB2312"/>
          <w:bCs/>
          <w:sz w:val="24"/>
        </w:rPr>
      </w:pPr>
      <w:r>
        <w:rPr>
          <w:rFonts w:hint="eastAsia" w:eastAsia="仿宋_GB2312"/>
          <w:bCs/>
          <w:sz w:val="24"/>
        </w:rPr>
        <w:t>5、技术评审</w:t>
      </w:r>
    </w:p>
    <w:p w14:paraId="2C459B3E">
      <w:pPr>
        <w:spacing w:line="400" w:lineRule="exact"/>
        <w:ind w:firstLine="480" w:firstLineChars="200"/>
        <w:rPr>
          <w:rFonts w:hint="eastAsia" w:eastAsia="仿宋_GB2312"/>
          <w:bCs/>
          <w:sz w:val="24"/>
        </w:rPr>
      </w:pPr>
      <w:r>
        <w:rPr>
          <w:rFonts w:hint="eastAsia" w:eastAsia="仿宋_GB2312"/>
          <w:bCs/>
          <w:sz w:val="24"/>
        </w:rPr>
        <w:t>2023年6月7日山西省市场监督管理局组织召开“2023年省级地方标准立项答辩会（第八场）”对本标准进行了初审。2023年6月30日，编写组根据标准征求意见评审会的要求，在对文本格式进一步规范，对技术参数等进一步论证，表决予以通过。</w:t>
      </w:r>
    </w:p>
    <w:p w14:paraId="7DC95413">
      <w:pPr>
        <w:spacing w:line="400" w:lineRule="exact"/>
        <w:ind w:firstLine="480" w:firstLineChars="200"/>
        <w:rPr>
          <w:rFonts w:hint="eastAsia" w:eastAsia="仿宋_GB2312"/>
          <w:bCs/>
          <w:sz w:val="24"/>
        </w:rPr>
      </w:pPr>
      <w:r>
        <w:rPr>
          <w:rFonts w:hint="eastAsia" w:eastAsia="仿宋_GB2312"/>
          <w:bCs/>
          <w:sz w:val="24"/>
        </w:rPr>
        <w:t>6、征求意见</w:t>
      </w:r>
    </w:p>
    <w:p w14:paraId="1FF8F2B3">
      <w:pPr>
        <w:spacing w:line="400" w:lineRule="exact"/>
        <w:ind w:firstLine="480" w:firstLineChars="200"/>
        <w:rPr>
          <w:rFonts w:hint="eastAsia" w:eastAsia="仿宋_GB2312"/>
          <w:bCs/>
          <w:sz w:val="24"/>
        </w:rPr>
      </w:pPr>
      <w:r>
        <w:rPr>
          <w:rFonts w:hint="eastAsia" w:eastAsia="仿宋_GB2312"/>
          <w:bCs/>
          <w:sz w:val="24"/>
        </w:rPr>
        <w:t>2023年7月30日-2023年8月30日，通过山西省市场监管局网对制定标准《夏季香菇生产技术规程》进行公示，广泛征求公众意见。</w:t>
      </w:r>
    </w:p>
    <w:p w14:paraId="0C1CBB9B">
      <w:pPr>
        <w:spacing w:line="400" w:lineRule="exact"/>
        <w:ind w:firstLine="480" w:firstLineChars="200"/>
        <w:rPr>
          <w:rFonts w:hint="eastAsia" w:eastAsia="仿宋_GB2312"/>
          <w:bCs/>
          <w:sz w:val="24"/>
        </w:rPr>
      </w:pPr>
      <w:r>
        <w:rPr>
          <w:rFonts w:hint="eastAsia" w:eastAsia="仿宋_GB2312"/>
          <w:bCs/>
          <w:sz w:val="24"/>
        </w:rPr>
        <w:t>7、完善文本</w:t>
      </w:r>
    </w:p>
    <w:p w14:paraId="42A5945B">
      <w:pPr>
        <w:spacing w:line="400" w:lineRule="exact"/>
        <w:ind w:firstLine="480" w:firstLineChars="200"/>
        <w:rPr>
          <w:rFonts w:hint="eastAsia" w:eastAsia="仿宋_GB2312"/>
          <w:bCs/>
          <w:sz w:val="24"/>
        </w:rPr>
      </w:pPr>
      <w:r>
        <w:rPr>
          <w:rFonts w:hint="eastAsia" w:eastAsia="仿宋_GB2312"/>
          <w:bCs/>
          <w:sz w:val="24"/>
        </w:rPr>
        <w:t>2023年9月30日由山西省市场监督管理局组织召开了标准的送审稿评审会，形成标准的送审稿会议纪要，并按照要求进一步完善了文本。</w:t>
      </w:r>
    </w:p>
    <w:p w14:paraId="57452B37">
      <w:pPr>
        <w:spacing w:line="400" w:lineRule="exact"/>
        <w:ind w:firstLine="480" w:firstLineChars="200"/>
        <w:rPr>
          <w:rFonts w:hint="eastAsia" w:eastAsia="仿宋_GB2312"/>
          <w:bCs/>
          <w:sz w:val="24"/>
        </w:rPr>
      </w:pPr>
      <w:r>
        <w:rPr>
          <w:rFonts w:hint="eastAsia" w:eastAsia="仿宋_GB2312"/>
          <w:bCs/>
          <w:sz w:val="24"/>
        </w:rPr>
        <w:t>8、形成报批稿、提交报批材料............</w:t>
      </w:r>
    </w:p>
    <w:p w14:paraId="7A782DA9">
      <w:pPr>
        <w:spacing w:line="400" w:lineRule="exact"/>
        <w:ind w:firstLine="480" w:firstLineChars="200"/>
        <w:rPr>
          <w:rFonts w:eastAsia="仿宋_GB2312"/>
          <w:bCs/>
          <w:sz w:val="24"/>
        </w:rPr>
      </w:pPr>
      <w:r>
        <w:rPr>
          <w:rFonts w:hint="eastAsia" w:eastAsia="仿宋_GB2312"/>
          <w:bCs/>
          <w:sz w:val="24"/>
        </w:rPr>
        <w:t>...................</w:t>
      </w:r>
    </w:p>
    <w:p w14:paraId="7D156A33">
      <w:pPr>
        <w:spacing w:line="360" w:lineRule="auto"/>
        <w:ind w:firstLine="480" w:firstLineChars="200"/>
        <w:outlineLvl w:val="0"/>
        <w:rPr>
          <w:rFonts w:ascii="黑体" w:eastAsia="黑体"/>
          <w:sz w:val="24"/>
        </w:rPr>
      </w:pPr>
      <w:r>
        <w:rPr>
          <w:rFonts w:hint="eastAsia" w:ascii="黑体" w:eastAsia="黑体"/>
          <w:sz w:val="24"/>
        </w:rPr>
        <w:t>四</w:t>
      </w:r>
      <w:r>
        <w:rPr>
          <w:rFonts w:ascii="黑体" w:eastAsia="黑体"/>
          <w:sz w:val="24"/>
        </w:rPr>
        <w:t>、</w:t>
      </w:r>
      <w:r>
        <w:rPr>
          <w:rFonts w:hint="eastAsia" w:ascii="黑体" w:eastAsia="黑体"/>
          <w:sz w:val="24"/>
        </w:rPr>
        <w:t>制定标准的原则和依据，与现行法律、法规、标准的关系</w:t>
      </w:r>
    </w:p>
    <w:p w14:paraId="0C82CA0D">
      <w:pPr>
        <w:spacing w:line="400" w:lineRule="exact"/>
        <w:ind w:firstLine="480" w:firstLineChars="200"/>
        <w:rPr>
          <w:rFonts w:hint="eastAsia" w:eastAsia="仿宋_GB2312"/>
          <w:bCs/>
          <w:sz w:val="24"/>
        </w:rPr>
      </w:pPr>
      <w:r>
        <w:rPr>
          <w:rFonts w:hint="eastAsia" w:eastAsia="仿宋_GB2312"/>
          <w:bCs/>
          <w:sz w:val="24"/>
        </w:rPr>
        <w:t>（一）制订标准的原则和依据</w:t>
      </w:r>
    </w:p>
    <w:p w14:paraId="7D9801B5">
      <w:pPr>
        <w:spacing w:line="360" w:lineRule="auto"/>
        <w:ind w:firstLine="480" w:firstLineChars="200"/>
        <w:rPr>
          <w:rFonts w:eastAsia="仿宋_GB2312"/>
          <w:bCs/>
          <w:sz w:val="24"/>
        </w:rPr>
      </w:pPr>
      <w:r>
        <w:rPr>
          <w:rFonts w:hint="eastAsia" w:eastAsia="仿宋_GB2312"/>
          <w:bCs/>
          <w:sz w:val="24"/>
        </w:rPr>
        <w:t>1.合法性：标准的制订严格遵守国家相关法律规定，其核心条文上不突破现行国家标准的技术规定，在内容、术语上与其他行业标准保持协调一致。</w:t>
      </w:r>
    </w:p>
    <w:p w14:paraId="01F3B852">
      <w:pPr>
        <w:spacing w:line="360" w:lineRule="auto"/>
        <w:ind w:firstLine="480" w:firstLineChars="200"/>
        <w:rPr>
          <w:rFonts w:eastAsia="仿宋_GB2312"/>
          <w:bCs/>
          <w:sz w:val="24"/>
        </w:rPr>
      </w:pPr>
      <w:r>
        <w:rPr>
          <w:rFonts w:hint="eastAsia" w:eastAsia="仿宋_GB2312"/>
          <w:bCs/>
          <w:sz w:val="24"/>
        </w:rPr>
        <w:t>2.安全性：在制订过程中，牢固树立安全意识，引用文件一定参考有关安全方面的法规，标准及其它相关文件，在设施设计上全面考虑承压抗灾情况，在设备操作严格规定安全操作条款，化学试剂使用上认真执行相关标准规定，全方位保证标准能够安全实施。</w:t>
      </w:r>
    </w:p>
    <w:p w14:paraId="3A3DAA25">
      <w:pPr>
        <w:spacing w:line="360" w:lineRule="auto"/>
        <w:ind w:firstLine="480" w:firstLineChars="200"/>
        <w:rPr>
          <w:rFonts w:eastAsia="仿宋_GB2312"/>
          <w:bCs/>
          <w:sz w:val="24"/>
        </w:rPr>
      </w:pPr>
      <w:r>
        <w:rPr>
          <w:rFonts w:hint="eastAsia" w:eastAsia="仿宋_GB2312"/>
          <w:bCs/>
          <w:sz w:val="24"/>
        </w:rPr>
        <w:t>3.适应性：本标准是在定点示范栽培和稳步推广的基础上而形成的。在我省大同、吕梁等多地进行了多重复的示范性实施，获得了充分的可行的数据，具有普遍的适用性。</w:t>
      </w:r>
    </w:p>
    <w:p w14:paraId="4863D550">
      <w:pPr>
        <w:spacing w:line="360" w:lineRule="auto"/>
        <w:ind w:firstLine="480" w:firstLineChars="200"/>
        <w:rPr>
          <w:rFonts w:eastAsia="仿宋_GB2312"/>
          <w:bCs/>
          <w:sz w:val="24"/>
        </w:rPr>
      </w:pPr>
      <w:r>
        <w:rPr>
          <w:rFonts w:hint="eastAsia" w:eastAsia="仿宋_GB2312"/>
          <w:bCs/>
          <w:sz w:val="24"/>
        </w:rPr>
        <w:t>4.协调性：本标准的修订与国家标准、行业标准以及其它地区地方标准等文件进行了全面协调，避免了重复定义，核实了不必要的差异，全部采用国家行业通用的符号、单位等编辑表达，严格做到协调一致。</w:t>
      </w:r>
    </w:p>
    <w:p w14:paraId="7E19F909">
      <w:pPr>
        <w:spacing w:line="400" w:lineRule="exact"/>
        <w:ind w:firstLine="480" w:firstLineChars="200"/>
        <w:rPr>
          <w:rFonts w:eastAsia="仿宋_GB2312"/>
          <w:bCs/>
          <w:sz w:val="24"/>
        </w:rPr>
      </w:pPr>
      <w:r>
        <w:rPr>
          <w:rFonts w:hint="eastAsia" w:eastAsia="仿宋_GB2312"/>
          <w:bCs/>
          <w:sz w:val="24"/>
        </w:rPr>
        <w:t>5.先进性：标准的修订以相关的科学理论为基础，各项技术指标均来自于近几年试验示范生产中获得的新数据，并结合山西省夏季香菇生产企业的生产实践进行归纳、总结而形成的。很多数据参数属于首次公开发布，具有显著的先进性。</w:t>
      </w:r>
    </w:p>
    <w:p w14:paraId="7CB08AEC">
      <w:pPr>
        <w:spacing w:line="360" w:lineRule="auto"/>
        <w:ind w:firstLine="480" w:firstLineChars="200"/>
        <w:rPr>
          <w:rFonts w:hint="eastAsia" w:eastAsia="仿宋_GB2312"/>
          <w:bCs/>
          <w:sz w:val="24"/>
        </w:rPr>
      </w:pPr>
      <w:r>
        <w:rPr>
          <w:rFonts w:hint="eastAsia" w:eastAsia="仿宋_GB2312"/>
          <w:bCs/>
          <w:sz w:val="24"/>
        </w:rPr>
        <w:t>（二）与现行法律、法规、标准的关系</w:t>
      </w:r>
    </w:p>
    <w:p w14:paraId="23CA9072">
      <w:pPr>
        <w:spacing w:line="360" w:lineRule="auto"/>
        <w:ind w:firstLine="480" w:firstLineChars="200"/>
        <w:outlineLvl w:val="0"/>
        <w:rPr>
          <w:rFonts w:hint="eastAsia" w:ascii="仿宋_GB2312" w:hAnsi="宋体" w:eastAsia="仿宋_GB2312"/>
          <w:sz w:val="24"/>
        </w:rPr>
      </w:pPr>
      <w:r>
        <w:rPr>
          <w:rFonts w:hint="eastAsia" w:eastAsia="仿宋_GB2312"/>
          <w:bCs/>
          <w:sz w:val="24"/>
        </w:rPr>
        <w:t>本标准符合《中华人民共和国农产品质量安全法》等的有关规定。</w:t>
      </w:r>
      <w:r>
        <w:rPr>
          <w:rFonts w:hint="eastAsia" w:ascii="仿宋_GB2312" w:hAnsi="宋体" w:eastAsia="仿宋_GB2312"/>
          <w:sz w:val="24"/>
        </w:rPr>
        <w:t>本标准严格遵循国家标准、行业标准在香菇栽培方面的相关规定、也借鉴了其它省市的一些经验</w:t>
      </w:r>
      <w:r>
        <w:rPr>
          <w:rFonts w:hint="eastAsia" w:ascii="仿宋_GB2312" w:hAnsi="宋体" w:eastAsia="仿宋_GB2312"/>
          <w:sz w:val="24"/>
          <w:lang w:eastAsia="zh-CN"/>
        </w:rPr>
        <w:t>。</w:t>
      </w:r>
      <w:r>
        <w:rPr>
          <w:rFonts w:hint="eastAsia" w:eastAsia="仿宋_GB2312"/>
          <w:bCs/>
          <w:sz w:val="24"/>
        </w:rPr>
        <w:t>与现行的国标、行标及其它省市的地方标准相比较，</w:t>
      </w:r>
      <w:r>
        <w:rPr>
          <w:rFonts w:hint="eastAsia" w:ascii="仿宋_GB2312" w:hAnsi="宋体" w:eastAsia="仿宋_GB2312"/>
          <w:sz w:val="24"/>
        </w:rPr>
        <w:t>本标准突出了以下几个方面的内容：</w:t>
      </w:r>
    </w:p>
    <w:p w14:paraId="4CAD07D5">
      <w:pPr>
        <w:spacing w:line="360" w:lineRule="auto"/>
        <w:ind w:firstLine="480" w:firstLineChars="200"/>
        <w:outlineLvl w:val="0"/>
        <w:rPr>
          <w:rFonts w:hint="eastAsia" w:ascii="仿宋_GB2312" w:hAnsi="宋体" w:eastAsia="仿宋_GB2312"/>
          <w:sz w:val="24"/>
        </w:rPr>
      </w:pPr>
      <w:r>
        <w:rPr>
          <w:rFonts w:hint="eastAsia" w:ascii="仿宋_GB2312" w:hAnsi="宋体" w:eastAsia="仿宋_GB2312"/>
          <w:sz w:val="24"/>
        </w:rPr>
        <w:t>1、与查重报告的现有“GB／Z 26587--2011 香菇生产技术规程”的差异性主要体现于：已颁布实施的国标GB／Z 26587--2011，乃至其它省市除DB41/T 2046-2020外关于香菇生产的地方标准，均为冬季出菇生产模式，与我省夏季香菇生产的技术需求相距较远，其中，关于栽培季节或生产季节安排、装袋时间或菌袋制作，以及发菌培养、转色管理、出菇管理等生产指标均存在显著差异。</w:t>
      </w:r>
    </w:p>
    <w:p w14:paraId="3B883BDD">
      <w:pPr>
        <w:spacing w:line="360" w:lineRule="auto"/>
        <w:ind w:firstLine="480" w:firstLineChars="200"/>
        <w:outlineLvl w:val="0"/>
        <w:rPr>
          <w:rFonts w:hint="eastAsia" w:eastAsia="仿宋_GB2312"/>
          <w:bCs/>
          <w:sz w:val="24"/>
        </w:rPr>
      </w:pPr>
      <w:r>
        <w:rPr>
          <w:rFonts w:hint="eastAsia" w:ascii="仿宋_GB2312" w:hAnsi="宋体" w:eastAsia="仿宋_GB2312"/>
          <w:sz w:val="24"/>
        </w:rPr>
        <w:t>2、本标准的各项具体技术指标均来自于近几年试验示范生产中获得的新数据，并结合山西省夏季香菇生产企业的生产实践进行归纳、总结而形成，而DB41/T 2046-2020主要规范了河南高海拔地区的夏季香菇生产内容。本标准对菇棚建造、生产季节安排、菌袋制作、发菌培养，以及出菇管理中的具体技术参数，均依据我省夏季出菇要求进行了具体规定，与DB41/T 2046-2020的相关内容相比均存在显著差异。</w:t>
      </w:r>
    </w:p>
    <w:p w14:paraId="5523CA89">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w:t>
      </w:r>
      <w:r>
        <w:rPr>
          <w:rFonts w:hint="eastAsia" w:ascii="黑体" w:eastAsia="黑体"/>
          <w:sz w:val="24"/>
        </w:rPr>
        <w:t>主要条款说明</w:t>
      </w:r>
    </w:p>
    <w:p w14:paraId="2B03C9CC">
      <w:pPr>
        <w:spacing w:line="360" w:lineRule="auto"/>
        <w:ind w:firstLine="480" w:firstLineChars="200"/>
        <w:rPr>
          <w:rFonts w:hint="eastAsia" w:ascii="仿宋_GB2312" w:hAnsi="宋体" w:eastAsia="仿宋_GB2312"/>
          <w:sz w:val="24"/>
        </w:rPr>
      </w:pPr>
      <w:r>
        <w:rPr>
          <w:rFonts w:hint="eastAsia" w:eastAsia="仿宋_GB2312"/>
          <w:bCs/>
          <w:sz w:val="24"/>
        </w:rPr>
        <w:t>（一）主要条款说明</w:t>
      </w:r>
    </w:p>
    <w:p w14:paraId="2E98E8A2">
      <w:pPr>
        <w:spacing w:line="360" w:lineRule="auto"/>
        <w:ind w:firstLine="480" w:firstLineChars="200"/>
        <w:rPr>
          <w:rFonts w:eastAsia="仿宋_GB2312"/>
          <w:bCs/>
          <w:sz w:val="24"/>
        </w:rPr>
      </w:pPr>
      <w:r>
        <w:rPr>
          <w:rFonts w:eastAsia="仿宋_GB2312"/>
          <w:bCs/>
          <w:sz w:val="24"/>
        </w:rPr>
        <w:t>本标准所采用的技术指标名称符合现行食用菌的技术标准、规范、规程之规定。本标准分为11章，主要内容有：范围、规范性引用文件、术语和定义、场地选择、菇棚建造、生产季节安排、菌</w:t>
      </w:r>
      <w:r>
        <w:rPr>
          <w:rFonts w:hint="eastAsia" w:eastAsia="仿宋_GB2312"/>
          <w:bCs/>
          <w:sz w:val="24"/>
          <w:lang w:val="en-US" w:eastAsia="zh-CN"/>
        </w:rPr>
        <w:t>棒</w:t>
      </w:r>
      <w:r>
        <w:rPr>
          <w:rFonts w:eastAsia="仿宋_GB2312"/>
          <w:bCs/>
          <w:sz w:val="24"/>
        </w:rPr>
        <w:t>制作、发菌培养、转色管理、出菇管理及</w:t>
      </w:r>
      <w:r>
        <w:rPr>
          <w:rFonts w:hint="eastAsia" w:eastAsia="仿宋_GB2312"/>
          <w:bCs/>
          <w:sz w:val="24"/>
          <w:lang w:val="en-US" w:eastAsia="zh-CN"/>
        </w:rPr>
        <w:t>生产</w:t>
      </w:r>
      <w:r>
        <w:rPr>
          <w:rFonts w:eastAsia="仿宋_GB2312"/>
          <w:bCs/>
          <w:sz w:val="24"/>
        </w:rPr>
        <w:t>档案。</w:t>
      </w:r>
    </w:p>
    <w:p w14:paraId="757A68C1">
      <w:pPr>
        <w:spacing w:line="360" w:lineRule="auto"/>
        <w:ind w:firstLine="480" w:firstLineChars="200"/>
        <w:rPr>
          <w:rFonts w:eastAsia="仿宋_GB2312"/>
          <w:bCs/>
          <w:sz w:val="24"/>
        </w:rPr>
      </w:pPr>
      <w:r>
        <w:rPr>
          <w:rFonts w:eastAsia="仿宋_GB2312"/>
          <w:bCs/>
          <w:sz w:val="24"/>
        </w:rPr>
        <w:t>（二）主要技术指标、参数、实验验证的论述</w:t>
      </w:r>
    </w:p>
    <w:p w14:paraId="0EF9B04D">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1. 生产季安排指标的确定（6）</w:t>
      </w:r>
    </w:p>
    <w:p w14:paraId="7A97CBE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本标准将夏季香菇生产季安排的技术指标确定为：在10月下旬至2月上旬进行菌棒接种，4月下旬至5月上旬开始进行出菇管理。</w:t>
      </w:r>
    </w:p>
    <w:p w14:paraId="31AD9B92">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确定依据：由于我省的地理区域特征呈狭长分布，各地区的气候特征差异较大，2020年01月至 2022年12月，试验组分别与我省各地的夏季香菇生产企业和农业合作社合作，主要依据我国香菇市场的需求特征，以及适合不同地区的气候特征和选用的夏季香菇栽培品种，开展了适合我省夏季香菇栽培的生产季安排研究。通过3年来的跟踪调研，我们发现通过不同出菇期的品种搭配，我省夏季香菇企业不仅可以在4月下旬至5月上旬顺利完成头茬香菇的出菇管理，同时这样的出菇管理时期安排还能进一步确保将香菇栽培的盛菇期顺延至鲜菇价格较高的6～8月。</w:t>
      </w:r>
    </w:p>
    <w:p w14:paraId="4BEFBD64">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验证方法及预期效果：在2021年10月至2022年10月的一年期间，在交口县韦禾农业发展有限公司和广灵县北野食用菌业开发有限责任公司进行实际验证，分别平均每棒增收3元、5元和6元，均达到理想指标。</w:t>
      </w:r>
    </w:p>
    <w:p w14:paraId="536BACAE">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2.培养料配方确定（7.2.1）</w:t>
      </w:r>
    </w:p>
    <w:p w14:paraId="70472C0A">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本标准根据山西省的资源优势，将培养料的配方确定2个，配方一：阔叶树木屑78%，麸皮20%，轻质碳酸钙1%或石膏粉1%，过磷酸钙 1%；配方二：阔叶树木屑63%，棉籽壳20%，麸皮15%， 轻质碳酸钙1%或石膏粉1%，过磷酸钙 1%。这两个配方的培养料含水量均控制在55%～60%，pH 6.5～7.5。</w:t>
      </w:r>
    </w:p>
    <w:p w14:paraId="0CD8DD32">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确定依据：2020年01月至 2022年12月，试验组分别选阔叶树木屑、棉籽壳为主料，麸皮、米糠、轻质碳酸钙、石膏等为辅料，设计了9种培养料配方，同时注意所配置培养基中的碳氮比值，开展了不同培养料配方对菌丝生长的影响研究。通过对菌丝萌发时间、满袋时间、菌丝日生长速度、菌丝密度、菌丝长势、污染情况等因素实验研究筛选出最优生产配方。</w:t>
      </w:r>
    </w:p>
    <w:p w14:paraId="49A6004E">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验证方法及预期效果：在2021年10月至2022年10月的一年期间，在交口县韦禾农业发展有限公司和广灵县北野食用菌业开发有限责任公司进行实际验证，两组配方鲜香菇平均每标准棒产量分别达到1.10千克和1.06千克，均达到理想指标。</w:t>
      </w:r>
    </w:p>
    <w:p w14:paraId="5860CA8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3. 转色管理指标的确定（9）</w:t>
      </w:r>
    </w:p>
    <w:p w14:paraId="02180809">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本标准将夏季香菇转色管理的技术指标确定为：转色管理时间为50～60 d。菌棒每层2棒，“井”字型摆放，每垛8～10层，垛与垛间距6 cm～8 cm，3垛为一行，行与行间距60 cm～80 cm。菌棒中心温度控制在18 ℃～22 ℃，室内空气CO</w:t>
      </w:r>
      <w:r>
        <w:rPr>
          <w:rFonts w:hint="eastAsia" w:ascii="仿宋_GB2312" w:hAnsi="宋体" w:eastAsia="仿宋_GB2312"/>
          <w:sz w:val="24"/>
          <w:vertAlign w:val="subscript"/>
        </w:rPr>
        <w:t>2</w:t>
      </w:r>
      <w:r>
        <w:rPr>
          <w:rFonts w:hint="eastAsia" w:ascii="仿宋_GB2312" w:hAnsi="宋体" w:eastAsia="仿宋_GB2312"/>
          <w:sz w:val="24"/>
        </w:rPr>
        <w:t>浓度≤600 ppm，空间相对湿度约75%～85%，光照强度为400 lx～500 lx。</w:t>
      </w:r>
    </w:p>
    <w:p w14:paraId="33246267">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确定依据：转色期间，菌棒中心温度控制在18 ℃～22 ℃最佳，温度过高或过低都会抑制菌丝的正常生长，造成菌棒转色慢。转色时空间相对湿度在80%左右，环境湿度过大，会引起菌丝徒长，影响产量；湿度过小，菌棒难以转色。干湿交替的刺激，有利于转色，喷水后空气越流通，越容易转色。光线明暗交差的刺激也有利于转色，要增加散射光照射，棚内散射光的光照强度为400 lx～500 lx勒克斯时更有利于转色。依据不同香菇品种，转色完成的时间控制在50～60 天转色效果较好，料表呈棕色至棕褐色，“白色花斑”约占菌棒总面积的10%以下；菌膜厚度适中；菌棒富有弹性，敲击有干木棒的声响；重量较转色前减轻20%左右。</w:t>
      </w:r>
    </w:p>
    <w:p w14:paraId="0F938134">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验证方法及预期效果：2021年8月至2022年10月，利用交口县韦禾农业发展有限公司智能转色车间对转色期间的温度、湿度、光照和转色时间等多因素进行了实际验证，之后，在交口县韦禾农业发展有限公司和广灵县北野食用菌业开发有限责任公司进行出菇验证。试验和实际生产表明，转色期的管理控制对后期出菇的品质有显著影响。</w:t>
      </w:r>
    </w:p>
    <w:p w14:paraId="312A86C4">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4.出菇管理指标的确定（10）</w:t>
      </w:r>
    </w:p>
    <w:p w14:paraId="6D2E6713">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本标准分别确定了催蕾期、疏蕾期和育菇期的技术指标。催蕾期的技术指标为：催蕾期为5～7 天，空间相对湿度控制在80%～90%，并结合通风，进行18 ℃～26 ℃ 维持6～8 h和 8 ℃～18 ℃维持6～8 h的间隔变温处理。疏蕾期的技术指标确定为：时间5~7天，棚内温度降至8 ℃～12 ℃，适当通风和增加散射光，空间相对湿度维持在80%～85%。待大部分菇蕾的菌盖直径0.4 cm～0.6 cm时，及时疏蕾，每棒保留菇蕾在出菇面均匀分布，数目为8～15个。育菇期的技术指标确定为：当大部分菇类菌盖达到2.0 cm～2.5 cm时，将棚内温度降低至10℃～14℃，光照强度增加至500 lx～800 lx，加大通风量，使空间相对湿度降低至60%～80%，10～15 d后即可采收。</w:t>
      </w:r>
    </w:p>
    <w:p w14:paraId="0FE471D6">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确定依据：催蕾期进行变温管理并给予适当的散射光，可以诱导原基形成。控蕾期进行疏蕾管理，将菇蕾数目控制在8~15朵，菇蕾在出菇面均匀分布时产量较高。育菇期适当降低温度，可减弱菌棒内菌丝徒长，促使菇蕾内菌丝更为致密。同时，这一措施通过控制低温回潮间隔次数，拉大干湿差，可促使菌盖表面形成均匀的裂纹，可以较大的提高夏季香菇的优质花菇比例。</w:t>
      </w:r>
    </w:p>
    <w:p w14:paraId="2B8FC129">
      <w:pPr>
        <w:spacing w:line="360" w:lineRule="auto"/>
        <w:ind w:firstLine="480" w:firstLineChars="200"/>
        <w:rPr>
          <w:rFonts w:ascii="仿宋_GB2312" w:hAnsi="宋体" w:eastAsia="仿宋_GB2312"/>
          <w:sz w:val="24"/>
        </w:rPr>
      </w:pPr>
      <w:r>
        <w:rPr>
          <w:rFonts w:hint="eastAsia" w:ascii="仿宋_GB2312" w:hAnsi="宋体" w:eastAsia="仿宋_GB2312"/>
          <w:sz w:val="24"/>
        </w:rPr>
        <w:t>验证方法及预期效果：2021年6月至8月和2022年5月至8月，在广灵县北野食用菌业开发有限责任公司和交口县韦禾农业发展有限公司，对出菇管理的催蕾期、疏蕾期和育菇期的技术指标分别进行了验证。针对每个阶段的培育目标，对温度、湿度、和光照等多因素进行了单因素实验和实际生产验证。试验和实际生产表明，出菇期温湿度和光照管理是出菇质量和产量的关键。</w:t>
      </w:r>
    </w:p>
    <w:p w14:paraId="486D6857">
      <w:pPr>
        <w:spacing w:line="360" w:lineRule="auto"/>
        <w:ind w:firstLine="480" w:firstLineChars="200"/>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重大意见分歧的处理依据和结果</w:t>
      </w:r>
    </w:p>
    <w:p w14:paraId="570EC84C">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无重大意见分歧</w:t>
      </w:r>
    </w:p>
    <w:p w14:paraId="78CE5C1B">
      <w:pPr>
        <w:spacing w:line="360" w:lineRule="auto"/>
        <w:ind w:firstLine="480" w:firstLineChars="200"/>
        <w:outlineLvl w:val="0"/>
        <w:rPr>
          <w:rFonts w:ascii="黑体" w:eastAsia="黑体"/>
          <w:sz w:val="24"/>
        </w:rPr>
      </w:pPr>
      <w:r>
        <w:rPr>
          <w:rFonts w:hint="eastAsia" w:ascii="黑体" w:eastAsia="黑体"/>
          <w:sz w:val="24"/>
          <w:lang w:val="en-US" w:eastAsia="zh-CN"/>
        </w:rPr>
        <w:t>七</w:t>
      </w:r>
      <w:r>
        <w:rPr>
          <w:rFonts w:hint="eastAsia" w:ascii="黑体" w:eastAsia="黑体"/>
          <w:sz w:val="24"/>
        </w:rPr>
        <w:t>、</w:t>
      </w:r>
      <w:r>
        <w:rPr>
          <w:rFonts w:hint="eastAsia" w:ascii="黑体" w:hAnsi="黑体" w:eastAsia="黑体"/>
          <w:sz w:val="24"/>
        </w:rPr>
        <w:t>作为推荐性标准或者强制性标准的建议及其理由。</w:t>
      </w:r>
    </w:p>
    <w:p w14:paraId="2824C74C">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建议作为推荐性标准。</w:t>
      </w:r>
    </w:p>
    <w:p w14:paraId="6E5E15B0">
      <w:pPr>
        <w:spacing w:line="360" w:lineRule="auto"/>
        <w:ind w:firstLine="480" w:firstLineChars="200"/>
        <w:jc w:val="left"/>
        <w:rPr>
          <w:rFonts w:hint="eastAsia" w:ascii="仿宋_GB2312" w:hAnsi="宋体" w:eastAsia="仿宋_GB2312"/>
          <w:sz w:val="24"/>
          <w:lang w:val="en-US" w:eastAsia="zh-CN"/>
        </w:rPr>
      </w:pPr>
      <w:r>
        <w:rPr>
          <w:rFonts w:hint="eastAsia" w:ascii="仿宋_GB2312" w:hAnsi="宋体" w:eastAsia="仿宋_GB2312"/>
          <w:sz w:val="24"/>
        </w:rPr>
        <w:t>本标准的各项具体技术指标均来自于近几年试验示范生产中获得的新数据，并结合山西省夏季香菇生产企业的生产实践进行归纳、总结而形成，与现行的国标、行标及其它省市的地方标准相比较，</w:t>
      </w:r>
      <w:r>
        <w:rPr>
          <w:rFonts w:hint="eastAsia" w:ascii="仿宋_GB2312" w:hAnsi="宋体" w:eastAsia="仿宋_GB2312"/>
          <w:sz w:val="24"/>
          <w:lang w:val="en-US" w:eastAsia="zh-CN"/>
        </w:rPr>
        <w:t>更为符合</w:t>
      </w:r>
      <w:r>
        <w:rPr>
          <w:rFonts w:hint="eastAsia" w:ascii="仿宋_GB2312" w:hAnsi="宋体" w:eastAsia="仿宋_GB2312"/>
          <w:sz w:val="24"/>
        </w:rPr>
        <w:t>我省夏季香菇生产的技术</w:t>
      </w:r>
      <w:r>
        <w:rPr>
          <w:rFonts w:hint="eastAsia" w:ascii="仿宋_GB2312" w:hAnsi="宋体" w:eastAsia="仿宋_GB2312"/>
          <w:sz w:val="24"/>
          <w:lang w:val="en-US" w:eastAsia="zh-CN"/>
        </w:rPr>
        <w:t>需求。</w:t>
      </w:r>
    </w:p>
    <w:p w14:paraId="1ACF6D4B">
      <w:pPr>
        <w:spacing w:line="360" w:lineRule="auto"/>
        <w:ind w:firstLine="480" w:firstLineChars="200"/>
        <w:outlineLvl w:val="0"/>
        <w:rPr>
          <w:rFonts w:ascii="黑体" w:eastAsia="黑体"/>
          <w:sz w:val="24"/>
        </w:rPr>
      </w:pPr>
      <w:r>
        <w:rPr>
          <w:rFonts w:hint="eastAsia" w:ascii="黑体" w:eastAsia="黑体"/>
          <w:sz w:val="24"/>
          <w:lang w:val="en-US" w:eastAsia="zh-CN"/>
        </w:rPr>
        <w:t>八</w:t>
      </w:r>
      <w:r>
        <w:rPr>
          <w:rFonts w:ascii="黑体" w:eastAsia="黑体"/>
          <w:sz w:val="24"/>
        </w:rPr>
        <w:t>、</w:t>
      </w:r>
      <w:r>
        <w:rPr>
          <w:rFonts w:hint="eastAsia" w:ascii="黑体" w:eastAsia="黑体"/>
          <w:sz w:val="24"/>
        </w:rPr>
        <w:t>实施</w:t>
      </w:r>
      <w:r>
        <w:rPr>
          <w:rFonts w:ascii="黑体" w:eastAsia="黑体"/>
          <w:sz w:val="24"/>
        </w:rPr>
        <w:t>标准的措施建议</w:t>
      </w:r>
    </w:p>
    <w:p w14:paraId="30669276">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1、本标准发布实施后，标准起草单位将通过媒体以及山西省食用菌协会网站等平台进行宣传推广，并通过位于我省不同生产区域的</w:t>
      </w:r>
      <w:r>
        <w:rPr>
          <w:rFonts w:hint="eastAsia" w:ascii="仿宋_GB2312" w:hAnsi="宋体" w:eastAsia="仿宋_GB2312"/>
          <w:sz w:val="24"/>
          <w:lang w:val="en-US" w:eastAsia="zh-CN"/>
        </w:rPr>
        <w:t>香菇</w:t>
      </w:r>
      <w:r>
        <w:rPr>
          <w:rFonts w:hint="eastAsia" w:ascii="仿宋_GB2312" w:hAnsi="宋体" w:eastAsia="仿宋_GB2312"/>
          <w:sz w:val="24"/>
        </w:rPr>
        <w:t>生产企业进行本标准的试点示范生产。</w:t>
      </w:r>
    </w:p>
    <w:p w14:paraId="642AA579">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2、本标准发布实施后，标准起草组成员主要通过技术培训、实地指导与组织现场观摩会等方式，对我省金针菇生产企业的技术人员和管理人员，就本标准相关的关键技术参数与重要的细微操作环节进行有目的、针对性的培训，并开展相关关键技术问题的电话咨询与微信群的建立工作。</w:t>
      </w:r>
    </w:p>
    <w:p w14:paraId="0C940190">
      <w:pPr>
        <w:spacing w:line="360" w:lineRule="auto"/>
        <w:ind w:firstLine="480" w:firstLineChars="200"/>
        <w:jc w:val="left"/>
        <w:rPr>
          <w:rFonts w:ascii="仿宋_GB2312" w:hAnsi="宋体" w:eastAsia="仿宋_GB2312"/>
          <w:sz w:val="24"/>
        </w:rPr>
        <w:sectPr>
          <w:footerReference r:id="rId3" w:type="default"/>
          <w:pgSz w:w="11906" w:h="16838"/>
          <w:pgMar w:top="1440" w:right="1803" w:bottom="1440" w:left="1803" w:header="851" w:footer="992" w:gutter="0"/>
          <w:pgNumType w:start="1"/>
          <w:cols w:space="0" w:num="1"/>
          <w:titlePg/>
          <w:docGrid w:type="lines" w:linePitch="319" w:charSpace="0"/>
        </w:sectPr>
      </w:pPr>
      <w:r>
        <w:rPr>
          <w:rFonts w:hint="eastAsia" w:ascii="仿宋_GB2312" w:hAnsi="宋体" w:eastAsia="仿宋_GB2312"/>
          <w:sz w:val="24"/>
        </w:rPr>
        <w:t>3、本标准发布实施后，标准起草组成员以自身承担的科研项目与示范推广项目经费支持，坚持示范中改进，改进中示范的原则，及时反馈生产实践中的问题，不断完善标准外延，提高该标准实施的效果。</w:t>
      </w:r>
      <w:bookmarkStart w:id="0" w:name="_GoBack"/>
      <w:bookmarkEnd w:id="0"/>
    </w:p>
    <w:p w14:paraId="5BFA486D">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附表</w:t>
      </w:r>
    </w:p>
    <w:p w14:paraId="6C50F529">
      <w:pPr>
        <w:jc w:val="center"/>
        <w:rPr>
          <w:rFonts w:ascii="仿宋_GB2312" w:hAnsi="宋体" w:eastAsia="仿宋_GB2312"/>
          <w:sz w:val="24"/>
        </w:rPr>
      </w:pPr>
      <w:r>
        <w:rPr>
          <w:rFonts w:hint="eastAsia" w:ascii="仿宋_GB2312" w:hAnsi="宋体" w:eastAsia="仿宋_GB2312"/>
          <w:sz w:val="24"/>
        </w:rPr>
        <w:t>夏季香菇栽培技术规程地方标准征求意见汇总处理表</w:t>
      </w:r>
    </w:p>
    <w:p w14:paraId="2D380EAA">
      <w:pPr>
        <w:jc w:val="center"/>
        <w:rPr>
          <w:rFonts w:ascii="仿宋_GB2312" w:hAnsi="宋体" w:eastAsia="仿宋_GB2312"/>
          <w:sz w:val="24"/>
        </w:rPr>
      </w:pPr>
    </w:p>
    <w:p w14:paraId="11AFBD4E">
      <w:pPr>
        <w:jc w:val="left"/>
        <w:rPr>
          <w:szCs w:val="21"/>
          <w:highlight w:val="yellow"/>
        </w:rPr>
      </w:pPr>
      <w:r>
        <w:rPr>
          <w:szCs w:val="21"/>
        </w:rPr>
        <w:t>起草单位：山西农业大学                 承办人：</w:t>
      </w:r>
      <w:r>
        <w:rPr>
          <w:rFonts w:hint="eastAsia"/>
          <w:szCs w:val="21"/>
        </w:rPr>
        <w:t>刘靖宇</w:t>
      </w:r>
      <w:r>
        <w:rPr>
          <w:szCs w:val="21"/>
        </w:rPr>
        <w:t xml:space="preserve">              联系电话：</w:t>
      </w:r>
      <w:r>
        <w:rPr>
          <w:rFonts w:hint="eastAsia"/>
          <w:szCs w:val="21"/>
        </w:rPr>
        <w:t>0354-</w:t>
      </w:r>
      <w:r>
        <w:rPr>
          <w:szCs w:val="21"/>
        </w:rPr>
        <w:t>6288</w:t>
      </w:r>
      <w:r>
        <w:rPr>
          <w:rFonts w:hint="eastAsia"/>
          <w:szCs w:val="21"/>
          <w:lang w:val="en-US" w:eastAsia="zh-CN"/>
        </w:rPr>
        <w:t>325</w:t>
      </w:r>
      <w:r>
        <w:rPr>
          <w:szCs w:val="21"/>
        </w:rPr>
        <w:t xml:space="preserve">         </w:t>
      </w:r>
      <w:r>
        <w:rPr>
          <w:szCs w:val="21"/>
          <w:highlight w:val="none"/>
        </w:rPr>
        <w:t>填写时间20</w:t>
      </w:r>
      <w:r>
        <w:rPr>
          <w:rFonts w:hint="eastAsia"/>
          <w:szCs w:val="21"/>
          <w:highlight w:val="none"/>
          <w:lang w:val="en-US" w:eastAsia="zh-CN"/>
        </w:rPr>
        <w:t>23</w:t>
      </w:r>
      <w:r>
        <w:rPr>
          <w:szCs w:val="21"/>
          <w:highlight w:val="none"/>
        </w:rPr>
        <w:t xml:space="preserve"> 年 1</w:t>
      </w:r>
      <w:r>
        <w:rPr>
          <w:rFonts w:hint="eastAsia"/>
          <w:szCs w:val="21"/>
          <w:highlight w:val="none"/>
        </w:rPr>
        <w:t>0</w:t>
      </w:r>
      <w:r>
        <w:rPr>
          <w:szCs w:val="21"/>
          <w:highlight w:val="none"/>
        </w:rPr>
        <w:t xml:space="preserve">  月 </w:t>
      </w:r>
      <w:r>
        <w:rPr>
          <w:rFonts w:hint="eastAsia"/>
          <w:szCs w:val="21"/>
          <w:highlight w:val="none"/>
        </w:rPr>
        <w:t>29</w:t>
      </w:r>
      <w:r>
        <w:rPr>
          <w:szCs w:val="21"/>
          <w:highlight w:val="none"/>
        </w:rPr>
        <w:t xml:space="preserve"> 日</w:t>
      </w:r>
    </w:p>
    <w:tbl>
      <w:tblPr>
        <w:tblStyle w:val="12"/>
        <w:tblW w:w="1431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16"/>
        <w:gridCol w:w="1608"/>
        <w:gridCol w:w="6969"/>
        <w:gridCol w:w="2622"/>
        <w:gridCol w:w="1220"/>
        <w:gridCol w:w="1080"/>
      </w:tblGrid>
      <w:tr w14:paraId="161977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68" w:hRule="atLeast"/>
          <w:jc w:val="center"/>
        </w:trPr>
        <w:tc>
          <w:tcPr>
            <w:tcW w:w="816" w:type="dxa"/>
            <w:vAlign w:val="center"/>
          </w:tcPr>
          <w:p w14:paraId="288D3ED5">
            <w:pPr>
              <w:contextualSpacing/>
              <w:jc w:val="center"/>
              <w:rPr>
                <w:szCs w:val="21"/>
              </w:rPr>
            </w:pPr>
            <w:r>
              <w:rPr>
                <w:szCs w:val="21"/>
              </w:rPr>
              <w:t>序号</w:t>
            </w:r>
          </w:p>
        </w:tc>
        <w:tc>
          <w:tcPr>
            <w:tcW w:w="1608" w:type="dxa"/>
            <w:vAlign w:val="center"/>
          </w:tcPr>
          <w:p w14:paraId="40A8469B">
            <w:pPr>
              <w:contextualSpacing/>
              <w:jc w:val="center"/>
              <w:rPr>
                <w:szCs w:val="21"/>
              </w:rPr>
            </w:pPr>
            <w:r>
              <w:rPr>
                <w:szCs w:val="21"/>
              </w:rPr>
              <w:t>章条编号</w:t>
            </w:r>
          </w:p>
        </w:tc>
        <w:tc>
          <w:tcPr>
            <w:tcW w:w="6969" w:type="dxa"/>
            <w:vAlign w:val="center"/>
          </w:tcPr>
          <w:p w14:paraId="223194F0">
            <w:pPr>
              <w:ind w:firstLine="420"/>
              <w:contextualSpacing/>
              <w:jc w:val="center"/>
              <w:rPr>
                <w:szCs w:val="21"/>
              </w:rPr>
            </w:pPr>
            <w:r>
              <w:rPr>
                <w:szCs w:val="21"/>
              </w:rPr>
              <w:t>意见内容</w:t>
            </w:r>
          </w:p>
        </w:tc>
        <w:tc>
          <w:tcPr>
            <w:tcW w:w="2622" w:type="dxa"/>
            <w:vAlign w:val="center"/>
          </w:tcPr>
          <w:p w14:paraId="7AF7A7AA">
            <w:pPr>
              <w:contextualSpacing/>
              <w:jc w:val="center"/>
              <w:rPr>
                <w:szCs w:val="21"/>
              </w:rPr>
            </w:pPr>
            <w:r>
              <w:rPr>
                <w:szCs w:val="21"/>
              </w:rPr>
              <w:t>提出单位</w:t>
            </w:r>
          </w:p>
        </w:tc>
        <w:tc>
          <w:tcPr>
            <w:tcW w:w="1220" w:type="dxa"/>
            <w:vAlign w:val="center"/>
          </w:tcPr>
          <w:p w14:paraId="77AE6009">
            <w:pPr>
              <w:contextualSpacing/>
              <w:jc w:val="center"/>
              <w:rPr>
                <w:szCs w:val="21"/>
              </w:rPr>
            </w:pPr>
            <w:r>
              <w:rPr>
                <w:szCs w:val="21"/>
              </w:rPr>
              <w:t>处理意见</w:t>
            </w:r>
          </w:p>
        </w:tc>
        <w:tc>
          <w:tcPr>
            <w:tcW w:w="1080" w:type="dxa"/>
            <w:vAlign w:val="center"/>
          </w:tcPr>
          <w:p w14:paraId="400511D7">
            <w:pPr>
              <w:ind w:firstLine="199" w:firstLineChars="95"/>
              <w:contextualSpacing/>
              <w:jc w:val="center"/>
              <w:rPr>
                <w:szCs w:val="21"/>
              </w:rPr>
            </w:pPr>
            <w:r>
              <w:rPr>
                <w:szCs w:val="21"/>
              </w:rPr>
              <w:t>备注</w:t>
            </w:r>
          </w:p>
        </w:tc>
      </w:tr>
      <w:tr w14:paraId="663022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0" w:hRule="atLeast"/>
          <w:jc w:val="center"/>
        </w:trPr>
        <w:tc>
          <w:tcPr>
            <w:tcW w:w="816" w:type="dxa"/>
            <w:vAlign w:val="center"/>
          </w:tcPr>
          <w:p w14:paraId="1ED41927">
            <w:pPr>
              <w:contextualSpacing/>
              <w:jc w:val="center"/>
              <w:rPr>
                <w:color w:val="000000"/>
                <w:szCs w:val="21"/>
              </w:rPr>
            </w:pPr>
            <w:r>
              <w:rPr>
                <w:color w:val="000000"/>
                <w:szCs w:val="21"/>
              </w:rPr>
              <w:t>1</w:t>
            </w:r>
          </w:p>
        </w:tc>
        <w:tc>
          <w:tcPr>
            <w:tcW w:w="1608" w:type="dxa"/>
            <w:vAlign w:val="center"/>
          </w:tcPr>
          <w:p w14:paraId="07F0156C">
            <w:pPr>
              <w:contextualSpacing/>
              <w:jc w:val="center"/>
              <w:rPr>
                <w:color w:val="000000"/>
                <w:szCs w:val="21"/>
              </w:rPr>
            </w:pPr>
            <w:r>
              <w:rPr>
                <w:rFonts w:hint="eastAsia"/>
                <w:color w:val="000000"/>
                <w:szCs w:val="21"/>
              </w:rPr>
              <w:t>第2章</w:t>
            </w:r>
          </w:p>
        </w:tc>
        <w:tc>
          <w:tcPr>
            <w:tcW w:w="6969" w:type="dxa"/>
            <w:vAlign w:val="center"/>
          </w:tcPr>
          <w:p w14:paraId="2729C946">
            <w:pPr>
              <w:ind w:firstLine="420" w:firstLineChars="200"/>
              <w:contextualSpacing/>
              <w:rPr>
                <w:color w:val="000000"/>
                <w:szCs w:val="21"/>
              </w:rPr>
            </w:pPr>
            <w:r>
              <w:rPr>
                <w:rFonts w:hint="eastAsia"/>
                <w:color w:val="000000"/>
                <w:szCs w:val="21"/>
              </w:rPr>
              <w:t>“规范性引用文件”中去掉无引用的标准内容。</w:t>
            </w:r>
          </w:p>
        </w:tc>
        <w:tc>
          <w:tcPr>
            <w:tcW w:w="2622" w:type="dxa"/>
            <w:vAlign w:val="center"/>
          </w:tcPr>
          <w:p w14:paraId="549C94C2">
            <w:pPr>
              <w:contextualSpacing/>
              <w:jc w:val="center"/>
              <w:rPr>
                <w:color w:val="000000"/>
                <w:szCs w:val="21"/>
              </w:rPr>
            </w:pPr>
            <w:r>
              <w:rPr>
                <w:rFonts w:hint="eastAsia"/>
                <w:color w:val="000000"/>
                <w:szCs w:val="21"/>
              </w:rPr>
              <w:t>山西省生物研究所</w:t>
            </w:r>
          </w:p>
        </w:tc>
        <w:tc>
          <w:tcPr>
            <w:tcW w:w="1220" w:type="dxa"/>
            <w:vAlign w:val="center"/>
          </w:tcPr>
          <w:p w14:paraId="3AFDC13B">
            <w:pPr>
              <w:contextualSpacing/>
              <w:jc w:val="center"/>
              <w:rPr>
                <w:color w:val="000000"/>
                <w:szCs w:val="21"/>
              </w:rPr>
            </w:pPr>
            <w:r>
              <w:rPr>
                <w:color w:val="000000"/>
                <w:szCs w:val="21"/>
              </w:rPr>
              <w:t>采纳</w:t>
            </w:r>
          </w:p>
        </w:tc>
        <w:tc>
          <w:tcPr>
            <w:tcW w:w="1080" w:type="dxa"/>
            <w:vAlign w:val="center"/>
          </w:tcPr>
          <w:p w14:paraId="434A7E28">
            <w:pPr>
              <w:ind w:firstLine="420"/>
              <w:contextualSpacing/>
              <w:jc w:val="center"/>
              <w:rPr>
                <w:color w:val="000000"/>
                <w:sz w:val="24"/>
              </w:rPr>
            </w:pPr>
          </w:p>
        </w:tc>
      </w:tr>
      <w:tr w14:paraId="482DA3D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9" w:hRule="atLeast"/>
          <w:jc w:val="center"/>
        </w:trPr>
        <w:tc>
          <w:tcPr>
            <w:tcW w:w="816" w:type="dxa"/>
            <w:vAlign w:val="center"/>
          </w:tcPr>
          <w:p w14:paraId="5BFFA9B2">
            <w:pPr>
              <w:contextualSpacing/>
              <w:jc w:val="center"/>
              <w:rPr>
                <w:color w:val="000000"/>
                <w:szCs w:val="21"/>
              </w:rPr>
            </w:pPr>
            <w:r>
              <w:rPr>
                <w:color w:val="000000"/>
                <w:szCs w:val="21"/>
              </w:rPr>
              <w:t>2</w:t>
            </w:r>
          </w:p>
        </w:tc>
        <w:tc>
          <w:tcPr>
            <w:tcW w:w="1608" w:type="dxa"/>
            <w:vAlign w:val="center"/>
          </w:tcPr>
          <w:p w14:paraId="5A8C967C">
            <w:pPr>
              <w:contextualSpacing/>
              <w:jc w:val="center"/>
              <w:rPr>
                <w:color w:val="000000"/>
                <w:szCs w:val="21"/>
              </w:rPr>
            </w:pPr>
            <w:r>
              <w:rPr>
                <w:color w:val="000000"/>
                <w:szCs w:val="21"/>
              </w:rPr>
              <w:t>第</w:t>
            </w:r>
            <w:r>
              <w:rPr>
                <w:rFonts w:hint="eastAsia"/>
                <w:color w:val="000000"/>
                <w:szCs w:val="21"/>
              </w:rPr>
              <w:t>3</w:t>
            </w:r>
            <w:r>
              <w:rPr>
                <w:color w:val="000000"/>
                <w:szCs w:val="21"/>
              </w:rPr>
              <w:t>章</w:t>
            </w:r>
          </w:p>
        </w:tc>
        <w:tc>
          <w:tcPr>
            <w:tcW w:w="6969" w:type="dxa"/>
            <w:vAlign w:val="center"/>
          </w:tcPr>
          <w:p w14:paraId="1732F517">
            <w:pPr>
              <w:ind w:firstLine="420" w:firstLineChars="200"/>
              <w:contextualSpacing/>
              <w:rPr>
                <w:rFonts w:hint="eastAsia"/>
                <w:color w:val="000000"/>
              </w:rPr>
            </w:pPr>
            <w:r>
              <w:rPr>
                <w:rFonts w:hint="eastAsia"/>
                <w:color w:val="000000"/>
              </w:rPr>
              <w:t>第二条将“转色”定义内容修改为“香菇菌丝在培养基内生长至一定阶段，由于气生菌丝倒伏与色素分泌而使菌棒表层转变为红褐色的过程”。</w:t>
            </w:r>
          </w:p>
        </w:tc>
        <w:tc>
          <w:tcPr>
            <w:tcW w:w="2622" w:type="dxa"/>
            <w:vAlign w:val="center"/>
          </w:tcPr>
          <w:p w14:paraId="585F863D">
            <w:pPr>
              <w:contextualSpacing/>
              <w:jc w:val="center"/>
              <w:rPr>
                <w:color w:val="000000"/>
                <w:szCs w:val="21"/>
              </w:rPr>
            </w:pPr>
            <w:r>
              <w:rPr>
                <w:color w:val="000000"/>
                <w:szCs w:val="21"/>
              </w:rPr>
              <w:t>山西农业大学</w:t>
            </w:r>
          </w:p>
        </w:tc>
        <w:tc>
          <w:tcPr>
            <w:tcW w:w="1220" w:type="dxa"/>
            <w:vAlign w:val="center"/>
          </w:tcPr>
          <w:p w14:paraId="4C246EF2">
            <w:pPr>
              <w:contextualSpacing/>
              <w:jc w:val="center"/>
              <w:rPr>
                <w:color w:val="000000"/>
                <w:szCs w:val="21"/>
              </w:rPr>
            </w:pPr>
            <w:r>
              <w:rPr>
                <w:color w:val="000000"/>
                <w:szCs w:val="21"/>
              </w:rPr>
              <w:t>采纳</w:t>
            </w:r>
          </w:p>
        </w:tc>
        <w:tc>
          <w:tcPr>
            <w:tcW w:w="1080" w:type="dxa"/>
            <w:vAlign w:val="center"/>
          </w:tcPr>
          <w:p w14:paraId="7684FC3D">
            <w:pPr>
              <w:ind w:firstLine="420"/>
              <w:contextualSpacing/>
              <w:jc w:val="center"/>
              <w:rPr>
                <w:color w:val="000000"/>
                <w:sz w:val="24"/>
              </w:rPr>
            </w:pPr>
          </w:p>
        </w:tc>
      </w:tr>
      <w:tr w14:paraId="0C2AF0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8" w:hRule="atLeast"/>
          <w:jc w:val="center"/>
        </w:trPr>
        <w:tc>
          <w:tcPr>
            <w:tcW w:w="816" w:type="dxa"/>
            <w:vAlign w:val="center"/>
          </w:tcPr>
          <w:p w14:paraId="729F2898">
            <w:pPr>
              <w:contextualSpacing/>
              <w:jc w:val="center"/>
              <w:rPr>
                <w:color w:val="000000"/>
                <w:szCs w:val="21"/>
              </w:rPr>
            </w:pPr>
            <w:r>
              <w:rPr>
                <w:color w:val="000000"/>
                <w:szCs w:val="21"/>
              </w:rPr>
              <w:t>3</w:t>
            </w:r>
          </w:p>
        </w:tc>
        <w:tc>
          <w:tcPr>
            <w:tcW w:w="1608" w:type="dxa"/>
            <w:vAlign w:val="center"/>
          </w:tcPr>
          <w:p w14:paraId="4D90BB81">
            <w:pPr>
              <w:contextualSpacing/>
              <w:jc w:val="center"/>
              <w:rPr>
                <w:color w:val="000000"/>
                <w:szCs w:val="21"/>
              </w:rPr>
            </w:pPr>
            <w:r>
              <w:rPr>
                <w:rFonts w:hint="eastAsia"/>
                <w:color w:val="000000"/>
                <w:szCs w:val="21"/>
              </w:rPr>
              <w:t>第4章</w:t>
            </w:r>
          </w:p>
        </w:tc>
        <w:tc>
          <w:tcPr>
            <w:tcW w:w="6969" w:type="dxa"/>
            <w:vAlign w:val="center"/>
          </w:tcPr>
          <w:p w14:paraId="31060991">
            <w:pPr>
              <w:pStyle w:val="19"/>
              <w:rPr>
                <w:rFonts w:hint="eastAsia" w:ascii="Times New Roman"/>
                <w:color w:val="000000"/>
                <w:szCs w:val="21"/>
              </w:rPr>
            </w:pPr>
            <w:r>
              <w:rPr>
                <w:rFonts w:hint="eastAsia"/>
                <w:color w:val="000000"/>
              </w:rPr>
              <w:t>将“场地选择”的内容精简为“场地选择符合NY 5358的要求”。</w:t>
            </w:r>
          </w:p>
        </w:tc>
        <w:tc>
          <w:tcPr>
            <w:tcW w:w="2622" w:type="dxa"/>
            <w:vAlign w:val="center"/>
          </w:tcPr>
          <w:p w14:paraId="5B154891">
            <w:pPr>
              <w:contextualSpacing/>
              <w:jc w:val="center"/>
              <w:rPr>
                <w:color w:val="000000"/>
                <w:szCs w:val="21"/>
              </w:rPr>
            </w:pPr>
            <w:r>
              <w:rPr>
                <w:rFonts w:hint="eastAsia"/>
                <w:color w:val="000000"/>
                <w:szCs w:val="21"/>
              </w:rPr>
              <w:t>山西大学</w:t>
            </w:r>
          </w:p>
        </w:tc>
        <w:tc>
          <w:tcPr>
            <w:tcW w:w="1220" w:type="dxa"/>
            <w:vAlign w:val="center"/>
          </w:tcPr>
          <w:p w14:paraId="0BB6ABB0">
            <w:pPr>
              <w:contextualSpacing/>
              <w:jc w:val="center"/>
              <w:rPr>
                <w:color w:val="000000"/>
                <w:szCs w:val="21"/>
              </w:rPr>
            </w:pPr>
            <w:r>
              <w:rPr>
                <w:color w:val="000000"/>
                <w:szCs w:val="21"/>
              </w:rPr>
              <w:t>采纳</w:t>
            </w:r>
          </w:p>
        </w:tc>
        <w:tc>
          <w:tcPr>
            <w:tcW w:w="1080" w:type="dxa"/>
            <w:vAlign w:val="center"/>
          </w:tcPr>
          <w:p w14:paraId="3453A223">
            <w:pPr>
              <w:ind w:firstLine="420"/>
              <w:contextualSpacing/>
              <w:jc w:val="center"/>
              <w:rPr>
                <w:color w:val="000000"/>
                <w:sz w:val="24"/>
              </w:rPr>
            </w:pPr>
          </w:p>
        </w:tc>
      </w:tr>
      <w:tr w14:paraId="73A4B7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51" w:hRule="atLeast"/>
          <w:jc w:val="center"/>
        </w:trPr>
        <w:tc>
          <w:tcPr>
            <w:tcW w:w="816" w:type="dxa"/>
            <w:vAlign w:val="center"/>
          </w:tcPr>
          <w:p w14:paraId="71C22FFD">
            <w:pPr>
              <w:contextualSpacing/>
              <w:jc w:val="center"/>
              <w:rPr>
                <w:color w:val="000000"/>
                <w:szCs w:val="21"/>
              </w:rPr>
            </w:pPr>
            <w:r>
              <w:rPr>
                <w:rFonts w:hint="eastAsia"/>
                <w:color w:val="000000"/>
                <w:szCs w:val="21"/>
              </w:rPr>
              <w:t>4</w:t>
            </w:r>
          </w:p>
        </w:tc>
        <w:tc>
          <w:tcPr>
            <w:tcW w:w="1608" w:type="dxa"/>
            <w:vAlign w:val="center"/>
          </w:tcPr>
          <w:p w14:paraId="62C7457B">
            <w:pPr>
              <w:contextualSpacing/>
              <w:jc w:val="center"/>
              <w:rPr>
                <w:color w:val="000000"/>
                <w:szCs w:val="21"/>
              </w:rPr>
            </w:pPr>
            <w:r>
              <w:rPr>
                <w:rFonts w:hint="eastAsia"/>
                <w:color w:val="000000"/>
                <w:szCs w:val="21"/>
              </w:rPr>
              <w:t>第5章</w:t>
            </w:r>
          </w:p>
        </w:tc>
        <w:tc>
          <w:tcPr>
            <w:tcW w:w="6969" w:type="dxa"/>
            <w:vAlign w:val="center"/>
          </w:tcPr>
          <w:p w14:paraId="6EB290C4">
            <w:pPr>
              <w:ind w:firstLine="420" w:firstLineChars="200"/>
              <w:contextualSpacing/>
              <w:rPr>
                <w:rFonts w:hint="eastAsia"/>
                <w:color w:val="000000"/>
                <w:szCs w:val="21"/>
              </w:rPr>
            </w:pPr>
            <w:r>
              <w:rPr>
                <w:rFonts w:hint="eastAsia"/>
                <w:color w:val="000000"/>
              </w:rPr>
              <w:t>第三条</w:t>
            </w:r>
            <w:r>
              <w:rPr>
                <w:rFonts w:hint="eastAsia"/>
                <w:color w:val="000000"/>
                <w:szCs w:val="21"/>
              </w:rPr>
              <w:t>“出菇棚建造”中“</w:t>
            </w:r>
            <w:r>
              <w:rPr>
                <w:rFonts w:hint="eastAsia"/>
                <w:color w:val="000000"/>
              </w:rPr>
              <w:t>床架最底层距地面</w:t>
            </w:r>
            <w:r>
              <w:rPr>
                <w:color w:val="000000"/>
              </w:rPr>
              <w:t>20 cm</w:t>
            </w:r>
            <w:r>
              <w:rPr>
                <w:rFonts w:hint="eastAsia"/>
                <w:color w:val="000000"/>
              </w:rPr>
              <w:t>，其余层与层间距</w:t>
            </w:r>
            <w:r>
              <w:rPr>
                <w:color w:val="000000"/>
              </w:rPr>
              <w:t>25 cm</w:t>
            </w:r>
            <w:r>
              <w:rPr>
                <w:rFonts w:hint="eastAsia"/>
                <w:color w:val="000000"/>
                <w:szCs w:val="21"/>
              </w:rPr>
              <w:t>”修改为“</w:t>
            </w:r>
            <w:r>
              <w:rPr>
                <w:rFonts w:hint="eastAsia"/>
                <w:color w:val="000000"/>
              </w:rPr>
              <w:t>床架间距</w:t>
            </w:r>
            <w:r>
              <w:rPr>
                <w:color w:val="000000"/>
              </w:rPr>
              <w:t>25 cm，底层距地面20 cm</w:t>
            </w:r>
            <w:r>
              <w:rPr>
                <w:rFonts w:hint="eastAsia"/>
                <w:color w:val="000000"/>
                <w:szCs w:val="21"/>
              </w:rPr>
              <w:t>”</w:t>
            </w:r>
            <w:r>
              <w:rPr>
                <w:rFonts w:hint="eastAsia"/>
                <w:color w:val="000000"/>
              </w:rPr>
              <w:t>。</w:t>
            </w:r>
          </w:p>
        </w:tc>
        <w:tc>
          <w:tcPr>
            <w:tcW w:w="2622" w:type="dxa"/>
            <w:vAlign w:val="center"/>
          </w:tcPr>
          <w:p w14:paraId="3704F2DC">
            <w:pPr>
              <w:contextualSpacing/>
              <w:jc w:val="center"/>
              <w:rPr>
                <w:rFonts w:hint="eastAsia"/>
                <w:color w:val="000000"/>
                <w:szCs w:val="21"/>
              </w:rPr>
            </w:pPr>
            <w:r>
              <w:rPr>
                <w:color w:val="000000"/>
                <w:szCs w:val="21"/>
              </w:rPr>
              <w:t>山西农业大学</w:t>
            </w:r>
          </w:p>
          <w:p w14:paraId="6DF1143D">
            <w:pPr>
              <w:contextualSpacing/>
              <w:jc w:val="center"/>
              <w:rPr>
                <w:color w:val="000000"/>
                <w:szCs w:val="21"/>
              </w:rPr>
            </w:pPr>
            <w:r>
              <w:rPr>
                <w:color w:val="000000"/>
                <w:szCs w:val="21"/>
              </w:rPr>
              <w:t>交口县韦禾农业发展有限公司</w:t>
            </w:r>
          </w:p>
        </w:tc>
        <w:tc>
          <w:tcPr>
            <w:tcW w:w="1220" w:type="dxa"/>
            <w:vAlign w:val="center"/>
          </w:tcPr>
          <w:p w14:paraId="457F3B4A">
            <w:pPr>
              <w:contextualSpacing/>
              <w:jc w:val="center"/>
              <w:rPr>
                <w:color w:val="000000"/>
                <w:szCs w:val="21"/>
              </w:rPr>
            </w:pPr>
            <w:r>
              <w:rPr>
                <w:color w:val="000000"/>
                <w:szCs w:val="21"/>
              </w:rPr>
              <w:t>采纳</w:t>
            </w:r>
          </w:p>
        </w:tc>
        <w:tc>
          <w:tcPr>
            <w:tcW w:w="1080" w:type="dxa"/>
            <w:vAlign w:val="center"/>
          </w:tcPr>
          <w:p w14:paraId="702A3D63">
            <w:pPr>
              <w:ind w:firstLine="420"/>
              <w:contextualSpacing/>
              <w:jc w:val="center"/>
              <w:rPr>
                <w:color w:val="000000"/>
                <w:sz w:val="24"/>
              </w:rPr>
            </w:pPr>
          </w:p>
        </w:tc>
      </w:tr>
      <w:tr w14:paraId="562C2DF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21" w:hRule="atLeast"/>
          <w:jc w:val="center"/>
        </w:trPr>
        <w:tc>
          <w:tcPr>
            <w:tcW w:w="816" w:type="dxa"/>
            <w:vAlign w:val="center"/>
          </w:tcPr>
          <w:p w14:paraId="4CE90922">
            <w:pPr>
              <w:contextualSpacing/>
              <w:jc w:val="center"/>
              <w:rPr>
                <w:szCs w:val="21"/>
              </w:rPr>
            </w:pPr>
            <w:r>
              <w:rPr>
                <w:rFonts w:hint="eastAsia"/>
                <w:szCs w:val="21"/>
              </w:rPr>
              <w:t>5</w:t>
            </w:r>
          </w:p>
        </w:tc>
        <w:tc>
          <w:tcPr>
            <w:tcW w:w="1608" w:type="dxa"/>
            <w:vAlign w:val="center"/>
          </w:tcPr>
          <w:p w14:paraId="486F6F0C">
            <w:pPr>
              <w:contextualSpacing/>
              <w:jc w:val="center"/>
              <w:rPr>
                <w:szCs w:val="21"/>
              </w:rPr>
            </w:pPr>
            <w:r>
              <w:rPr>
                <w:color w:val="000000"/>
                <w:szCs w:val="21"/>
              </w:rPr>
              <w:t>第</w:t>
            </w:r>
            <w:r>
              <w:rPr>
                <w:rFonts w:hint="eastAsia"/>
                <w:color w:val="000000"/>
                <w:szCs w:val="21"/>
              </w:rPr>
              <w:t>6</w:t>
            </w:r>
            <w:r>
              <w:rPr>
                <w:color w:val="000000"/>
                <w:szCs w:val="21"/>
              </w:rPr>
              <w:t>章</w:t>
            </w:r>
          </w:p>
        </w:tc>
        <w:tc>
          <w:tcPr>
            <w:tcW w:w="6969" w:type="dxa"/>
            <w:vAlign w:val="center"/>
          </w:tcPr>
          <w:p w14:paraId="0A7B6DD5">
            <w:pPr>
              <w:ind w:firstLine="420" w:firstLineChars="200"/>
              <w:contextualSpacing/>
              <w:rPr>
                <w:rFonts w:hint="eastAsia"/>
                <w:color w:val="000000"/>
                <w:szCs w:val="21"/>
              </w:rPr>
            </w:pPr>
            <w:r>
              <w:rPr>
                <w:rFonts w:hint="eastAsia"/>
                <w:color w:val="000000"/>
                <w:szCs w:val="21"/>
              </w:rPr>
              <w:t>第二条“装袋”和“接种”中的语言进行精简；</w:t>
            </w:r>
          </w:p>
          <w:p w14:paraId="6C9FF5AF">
            <w:pPr>
              <w:ind w:firstLine="420" w:firstLineChars="200"/>
              <w:contextualSpacing/>
              <w:rPr>
                <w:color w:val="000000"/>
                <w:szCs w:val="21"/>
              </w:rPr>
            </w:pPr>
            <w:r>
              <w:rPr>
                <w:rFonts w:hint="eastAsia"/>
                <w:color w:val="000000"/>
                <w:szCs w:val="21"/>
              </w:rPr>
              <w:t>第五条“出菇管理”中的小标题修改为 “催蕾”、“疏蕾”、“育菇”和“转潮管理”；</w:t>
            </w:r>
          </w:p>
          <w:p w14:paraId="7D0D4179">
            <w:pPr>
              <w:ind w:firstLine="420" w:firstLineChars="200"/>
              <w:contextualSpacing/>
            </w:pPr>
            <w:r>
              <w:rPr>
                <w:rFonts w:hint="eastAsia"/>
                <w:color w:val="000000"/>
                <w:szCs w:val="21"/>
              </w:rPr>
              <w:t>第五条 将“采收”从“出菇管理”中列出，单独设置为“第六条”。</w:t>
            </w:r>
          </w:p>
        </w:tc>
        <w:tc>
          <w:tcPr>
            <w:tcW w:w="2622" w:type="dxa"/>
            <w:vAlign w:val="center"/>
          </w:tcPr>
          <w:p w14:paraId="21F18E42">
            <w:pPr>
              <w:contextualSpacing/>
              <w:jc w:val="center"/>
              <w:rPr>
                <w:rFonts w:hint="eastAsia"/>
                <w:szCs w:val="21"/>
              </w:rPr>
            </w:pPr>
            <w:r>
              <w:rPr>
                <w:rFonts w:hint="eastAsia"/>
                <w:szCs w:val="21"/>
              </w:rPr>
              <w:t>山西功能食品研究院</w:t>
            </w:r>
          </w:p>
        </w:tc>
        <w:tc>
          <w:tcPr>
            <w:tcW w:w="1220" w:type="dxa"/>
            <w:vAlign w:val="center"/>
          </w:tcPr>
          <w:p w14:paraId="5A98E020">
            <w:pPr>
              <w:contextualSpacing/>
              <w:jc w:val="center"/>
              <w:rPr>
                <w:szCs w:val="21"/>
              </w:rPr>
            </w:pPr>
            <w:r>
              <w:rPr>
                <w:rFonts w:hAnsi="宋体"/>
                <w:szCs w:val="21"/>
              </w:rPr>
              <w:t>采纳</w:t>
            </w:r>
          </w:p>
        </w:tc>
        <w:tc>
          <w:tcPr>
            <w:tcW w:w="1080" w:type="dxa"/>
            <w:vAlign w:val="center"/>
          </w:tcPr>
          <w:p w14:paraId="1968AEBB">
            <w:pPr>
              <w:ind w:firstLine="420"/>
              <w:contextualSpacing/>
              <w:jc w:val="center"/>
              <w:rPr>
                <w:sz w:val="24"/>
              </w:rPr>
            </w:pPr>
          </w:p>
        </w:tc>
      </w:tr>
      <w:tr w14:paraId="402E12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7" w:hRule="atLeast"/>
          <w:jc w:val="center"/>
        </w:trPr>
        <w:tc>
          <w:tcPr>
            <w:tcW w:w="816" w:type="dxa"/>
            <w:vAlign w:val="center"/>
          </w:tcPr>
          <w:p w14:paraId="1626014F">
            <w:pPr>
              <w:contextualSpacing/>
              <w:jc w:val="center"/>
              <w:rPr>
                <w:szCs w:val="21"/>
              </w:rPr>
            </w:pPr>
            <w:r>
              <w:rPr>
                <w:szCs w:val="21"/>
              </w:rPr>
              <w:t>6</w:t>
            </w:r>
          </w:p>
        </w:tc>
        <w:tc>
          <w:tcPr>
            <w:tcW w:w="1608" w:type="dxa"/>
            <w:vAlign w:val="center"/>
          </w:tcPr>
          <w:p w14:paraId="3C885C51">
            <w:pPr>
              <w:contextualSpacing/>
              <w:jc w:val="center"/>
              <w:rPr>
                <w:szCs w:val="21"/>
              </w:rPr>
            </w:pPr>
            <w:r>
              <w:rPr>
                <w:rFonts w:hint="eastAsia"/>
                <w:szCs w:val="21"/>
              </w:rPr>
              <w:t>第7章</w:t>
            </w:r>
          </w:p>
        </w:tc>
        <w:tc>
          <w:tcPr>
            <w:tcW w:w="6969" w:type="dxa"/>
            <w:vAlign w:val="center"/>
          </w:tcPr>
          <w:p w14:paraId="4A839597">
            <w:pPr>
              <w:ind w:firstLine="420" w:firstLineChars="200"/>
              <w:contextualSpacing/>
              <w:rPr>
                <w:rFonts w:hint="eastAsia"/>
                <w:color w:val="0000FF"/>
                <w:szCs w:val="21"/>
              </w:rPr>
            </w:pPr>
            <w:r>
              <w:rPr>
                <w:rFonts w:hint="eastAsia"/>
                <w:color w:val="000000"/>
                <w:szCs w:val="21"/>
              </w:rPr>
              <w:t>第二条 规范“发菌期防治”内容</w:t>
            </w:r>
          </w:p>
        </w:tc>
        <w:tc>
          <w:tcPr>
            <w:tcW w:w="2622" w:type="dxa"/>
            <w:vAlign w:val="center"/>
          </w:tcPr>
          <w:p w14:paraId="59D28397">
            <w:pPr>
              <w:contextualSpacing/>
              <w:jc w:val="center"/>
              <w:rPr>
                <w:color w:val="0000FF"/>
                <w:szCs w:val="21"/>
              </w:rPr>
            </w:pPr>
            <w:r>
              <w:rPr>
                <w:rFonts w:hint="eastAsia"/>
                <w:color w:val="000000"/>
                <w:szCs w:val="21"/>
              </w:rPr>
              <w:t>山西农业大学</w:t>
            </w:r>
          </w:p>
        </w:tc>
        <w:tc>
          <w:tcPr>
            <w:tcW w:w="1220" w:type="dxa"/>
            <w:vAlign w:val="center"/>
          </w:tcPr>
          <w:p w14:paraId="707BCDC7">
            <w:pPr>
              <w:contextualSpacing/>
              <w:jc w:val="center"/>
              <w:rPr>
                <w:szCs w:val="21"/>
              </w:rPr>
            </w:pPr>
            <w:r>
              <w:rPr>
                <w:rFonts w:hint="eastAsia"/>
                <w:szCs w:val="21"/>
              </w:rPr>
              <w:t>采纳</w:t>
            </w:r>
          </w:p>
        </w:tc>
        <w:tc>
          <w:tcPr>
            <w:tcW w:w="1080" w:type="dxa"/>
            <w:vAlign w:val="center"/>
          </w:tcPr>
          <w:p w14:paraId="428C795D">
            <w:pPr>
              <w:ind w:firstLine="420"/>
              <w:contextualSpacing/>
              <w:jc w:val="center"/>
              <w:rPr>
                <w:sz w:val="24"/>
              </w:rPr>
            </w:pPr>
          </w:p>
        </w:tc>
      </w:tr>
      <w:tr w14:paraId="01F07B5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78" w:hRule="atLeast"/>
          <w:jc w:val="center"/>
        </w:trPr>
        <w:tc>
          <w:tcPr>
            <w:tcW w:w="14315" w:type="dxa"/>
            <w:gridSpan w:val="6"/>
            <w:vAlign w:val="center"/>
          </w:tcPr>
          <w:p w14:paraId="5D3010B4">
            <w:pPr>
              <w:spacing w:before="159" w:beforeLines="50"/>
              <w:rPr>
                <w:rFonts w:asciiTheme="minorEastAsia" w:hAnsiTheme="minorEastAsia" w:eastAsiaTheme="minorEastAsia"/>
                <w:szCs w:val="21"/>
              </w:rPr>
            </w:pPr>
            <w:r>
              <w:rPr>
                <w:szCs w:val="21"/>
              </w:rPr>
              <w:t>说明：1.针对明确回复无意见的单位，请</w:t>
            </w:r>
            <w:r>
              <w:rPr>
                <w:rFonts w:asciiTheme="minorEastAsia" w:hAnsiTheme="minorEastAsia" w:eastAsiaTheme="minorEastAsia"/>
                <w:szCs w:val="21"/>
              </w:rPr>
              <w:t>在“意见内容”中注明无意见，在“提出单位”中列出无意见单位的名称。</w:t>
            </w:r>
          </w:p>
          <w:p w14:paraId="797D6410">
            <w:pPr>
              <w:spacing w:before="159" w:beforeLines="50"/>
              <w:ind w:left="210" w:leftChars="100" w:firstLine="420" w:firstLineChars="200"/>
              <w:rPr>
                <w:szCs w:val="21"/>
              </w:rPr>
            </w:pPr>
            <w:r>
              <w:rPr>
                <w:szCs w:val="21"/>
              </w:rPr>
              <w:t>2.发送征求意见稿单位数</w:t>
            </w:r>
            <w:r>
              <w:rPr>
                <w:rFonts w:hint="eastAsia"/>
                <w:szCs w:val="21"/>
                <w:u w:val="single"/>
                <w:lang w:val="en-US" w:eastAsia="zh-CN"/>
              </w:rPr>
              <w:t xml:space="preserve"> </w:t>
            </w:r>
            <w:r>
              <w:rPr>
                <w:rFonts w:hint="eastAsia"/>
                <w:szCs w:val="21"/>
                <w:u w:val="single"/>
              </w:rPr>
              <w:t>5</w:t>
            </w:r>
            <w:r>
              <w:rPr>
                <w:rFonts w:hint="eastAsia"/>
                <w:szCs w:val="21"/>
                <w:u w:val="single"/>
                <w:lang w:val="en-US" w:eastAsia="zh-CN"/>
              </w:rPr>
              <w:t xml:space="preserve"> </w:t>
            </w:r>
            <w:r>
              <w:rPr>
                <w:szCs w:val="21"/>
              </w:rPr>
              <w:t>个；回到征求意见稿回函的单位</w:t>
            </w:r>
            <w:r>
              <w:rPr>
                <w:rFonts w:hint="eastAsia"/>
                <w:szCs w:val="21"/>
                <w:u w:val="single"/>
                <w:lang w:val="en-US" w:eastAsia="zh-CN"/>
              </w:rPr>
              <w:t xml:space="preserve"> </w:t>
            </w:r>
            <w:r>
              <w:rPr>
                <w:rFonts w:hint="eastAsia"/>
                <w:szCs w:val="21"/>
                <w:u w:val="single"/>
              </w:rPr>
              <w:t>5</w:t>
            </w:r>
            <w:r>
              <w:rPr>
                <w:rFonts w:hint="eastAsia"/>
                <w:szCs w:val="21"/>
                <w:u w:val="single"/>
                <w:lang w:val="en-US" w:eastAsia="zh-CN"/>
              </w:rPr>
              <w:t xml:space="preserve"> </w:t>
            </w:r>
            <w:r>
              <w:rPr>
                <w:szCs w:val="21"/>
              </w:rPr>
              <w:t>个，收到征求意见稿并提出意见的单位数</w:t>
            </w:r>
            <w:r>
              <w:rPr>
                <w:rFonts w:hint="eastAsia"/>
                <w:szCs w:val="21"/>
                <w:u w:val="single"/>
                <w:lang w:val="en-US" w:eastAsia="zh-CN"/>
              </w:rPr>
              <w:t xml:space="preserve"> </w:t>
            </w:r>
            <w:r>
              <w:rPr>
                <w:rFonts w:hint="eastAsia"/>
                <w:szCs w:val="21"/>
                <w:u w:val="single"/>
              </w:rPr>
              <w:t>5</w:t>
            </w:r>
            <w:r>
              <w:rPr>
                <w:rFonts w:hint="eastAsia"/>
                <w:szCs w:val="21"/>
                <w:u w:val="single"/>
                <w:lang w:val="en-US" w:eastAsia="zh-CN"/>
              </w:rPr>
              <w:t xml:space="preserve"> </w:t>
            </w:r>
            <w:r>
              <w:rPr>
                <w:szCs w:val="21"/>
              </w:rPr>
              <w:t>个；没有回函的单位数</w:t>
            </w:r>
            <w:r>
              <w:rPr>
                <w:rFonts w:hint="eastAsia"/>
                <w:szCs w:val="21"/>
                <w:u w:val="single"/>
                <w:lang w:val="en-US" w:eastAsia="zh-CN"/>
              </w:rPr>
              <w:t xml:space="preserve"> </w:t>
            </w:r>
            <w:r>
              <w:rPr>
                <w:szCs w:val="21"/>
                <w:u w:val="single"/>
              </w:rPr>
              <w:t>0</w:t>
            </w:r>
            <w:r>
              <w:rPr>
                <w:rFonts w:hint="eastAsia"/>
                <w:szCs w:val="21"/>
                <w:u w:val="single"/>
                <w:lang w:val="en-US" w:eastAsia="zh-CN"/>
              </w:rPr>
              <w:t xml:space="preserve"> </w:t>
            </w:r>
            <w:r>
              <w:rPr>
                <w:szCs w:val="21"/>
              </w:rPr>
              <w:t>个；共收到</w:t>
            </w:r>
            <w:r>
              <w:rPr>
                <w:rFonts w:hint="eastAsia"/>
                <w:szCs w:val="21"/>
                <w:u w:val="single"/>
                <w:lang w:val="en-US" w:eastAsia="zh-CN"/>
              </w:rPr>
              <w:t xml:space="preserve"> </w:t>
            </w:r>
            <w:r>
              <w:rPr>
                <w:rFonts w:hint="eastAsia"/>
                <w:szCs w:val="21"/>
                <w:u w:val="single"/>
              </w:rPr>
              <w:t>6</w:t>
            </w:r>
            <w:r>
              <w:rPr>
                <w:szCs w:val="21"/>
              </w:rPr>
              <w:t>条意见，采纳</w:t>
            </w:r>
            <w:r>
              <w:rPr>
                <w:rFonts w:hint="eastAsia"/>
                <w:szCs w:val="21"/>
                <w:u w:val="single"/>
                <w:lang w:val="en-US" w:eastAsia="zh-CN"/>
              </w:rPr>
              <w:t xml:space="preserve"> </w:t>
            </w:r>
            <w:r>
              <w:rPr>
                <w:rFonts w:hint="eastAsia"/>
                <w:szCs w:val="21"/>
                <w:u w:val="single"/>
              </w:rPr>
              <w:t>6</w:t>
            </w:r>
            <w:r>
              <w:rPr>
                <w:rFonts w:hint="eastAsia"/>
                <w:szCs w:val="21"/>
                <w:u w:val="single"/>
                <w:lang w:val="en-US" w:eastAsia="zh-CN"/>
              </w:rPr>
              <w:t xml:space="preserve"> </w:t>
            </w:r>
            <w:r>
              <w:rPr>
                <w:szCs w:val="21"/>
              </w:rPr>
              <w:t>条意见，部分采纳</w:t>
            </w:r>
            <w:r>
              <w:rPr>
                <w:rFonts w:hint="eastAsia"/>
                <w:szCs w:val="21"/>
                <w:u w:val="single"/>
                <w:lang w:val="en-US" w:eastAsia="zh-CN"/>
              </w:rPr>
              <w:t xml:space="preserve"> </w:t>
            </w:r>
            <w:r>
              <w:rPr>
                <w:rFonts w:hint="eastAsia"/>
                <w:szCs w:val="21"/>
                <w:u w:val="single"/>
              </w:rPr>
              <w:t>0</w:t>
            </w:r>
            <w:r>
              <w:rPr>
                <w:rFonts w:hint="eastAsia"/>
                <w:szCs w:val="21"/>
                <w:u w:val="single"/>
                <w:lang w:val="en-US" w:eastAsia="zh-CN"/>
              </w:rPr>
              <w:t xml:space="preserve"> </w:t>
            </w:r>
            <w:r>
              <w:rPr>
                <w:szCs w:val="21"/>
              </w:rPr>
              <w:t>条意见，未采纳</w:t>
            </w:r>
            <w:r>
              <w:rPr>
                <w:rFonts w:hint="eastAsia"/>
                <w:szCs w:val="21"/>
                <w:u w:val="single"/>
                <w:lang w:val="en-US" w:eastAsia="zh-CN"/>
              </w:rPr>
              <w:t xml:space="preserve"> </w:t>
            </w:r>
            <w:r>
              <w:rPr>
                <w:rFonts w:hint="eastAsia"/>
                <w:szCs w:val="21"/>
                <w:u w:val="single"/>
              </w:rPr>
              <w:t>0</w:t>
            </w:r>
            <w:r>
              <w:rPr>
                <w:rFonts w:hint="eastAsia"/>
                <w:szCs w:val="21"/>
                <w:u w:val="single"/>
                <w:lang w:val="en-US" w:eastAsia="zh-CN"/>
              </w:rPr>
              <w:t xml:space="preserve"> </w:t>
            </w:r>
            <w:r>
              <w:rPr>
                <w:rFonts w:hint="eastAsia"/>
                <w:szCs w:val="21"/>
              </w:rPr>
              <w:t>。</w:t>
            </w:r>
          </w:p>
        </w:tc>
      </w:tr>
    </w:tbl>
    <w:p w14:paraId="5D89A3C3">
      <w:pPr>
        <w:jc w:val="left"/>
        <w:rPr>
          <w:rFonts w:ascii="仿宋_GB2312" w:hAnsi="宋体" w:eastAsia="仿宋_GB2312"/>
          <w:color w:val="0000FF"/>
          <w:sz w:val="24"/>
        </w:rPr>
      </w:pPr>
    </w:p>
    <w:sectPr>
      <w:pgSz w:w="16838" w:h="11906" w:orient="landscape"/>
      <w:pgMar w:top="1803" w:right="1440" w:bottom="1803" w:left="1440" w:header="851" w:footer="992" w:gutter="0"/>
      <w:pgNumType w:start="1"/>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ngal">
    <w:altName w:val="DejaVu Math TeX Gyre"/>
    <w:panose1 w:val="02040503050203030202"/>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DejaVu Math TeX Gyre">
    <w:panose1 w:val="02000503000000000000"/>
    <w:charset w:val="00"/>
    <w:family w:val="auto"/>
    <w:pitch w:val="default"/>
    <w:sig w:usb0="A10000EF" w:usb1="4201F9EE" w:usb2="02000000" w:usb3="00000000" w:csb0="60000193" w:csb1="0DD4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BFB9D">
    <w:pPr>
      <w:pStyle w:val="8"/>
      <w:jc w:val="center"/>
    </w:pPr>
    <w:r>
      <w:fldChar w:fldCharType="begin"/>
    </w:r>
    <w:r>
      <w:instrText xml:space="preserve">PAGE   \* MERGEFORMAT</w:instrText>
    </w:r>
    <w:r>
      <w:fldChar w:fldCharType="separate"/>
    </w:r>
    <w:r>
      <w:rPr>
        <w:lang w:val="zh-CN"/>
      </w:rPr>
      <w:t>2</w:t>
    </w:r>
    <w:r>
      <w:fldChar w:fldCharType="end"/>
    </w:r>
  </w:p>
  <w:p w14:paraId="7F7FDACA">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9"/>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ZDg1OWJhODZlZTk1ZWMxNjYxZGE5MDNmYjg5NGUifQ=="/>
  </w:docVars>
  <w:rsids>
    <w:rsidRoot w:val="00636FC5"/>
    <w:rsid w:val="00001A2E"/>
    <w:rsid w:val="00001C9C"/>
    <w:rsid w:val="00002121"/>
    <w:rsid w:val="00003D4E"/>
    <w:rsid w:val="0000541D"/>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07A"/>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168EB"/>
    <w:rsid w:val="00136B80"/>
    <w:rsid w:val="00140883"/>
    <w:rsid w:val="0014148A"/>
    <w:rsid w:val="001419AF"/>
    <w:rsid w:val="001422D2"/>
    <w:rsid w:val="00142DCA"/>
    <w:rsid w:val="001451F2"/>
    <w:rsid w:val="001477F8"/>
    <w:rsid w:val="00153E55"/>
    <w:rsid w:val="00155235"/>
    <w:rsid w:val="00163337"/>
    <w:rsid w:val="0016381F"/>
    <w:rsid w:val="0016534D"/>
    <w:rsid w:val="001653E3"/>
    <w:rsid w:val="001657F4"/>
    <w:rsid w:val="00184DC2"/>
    <w:rsid w:val="00195264"/>
    <w:rsid w:val="001A0041"/>
    <w:rsid w:val="001A0916"/>
    <w:rsid w:val="001B3160"/>
    <w:rsid w:val="001B6A79"/>
    <w:rsid w:val="001C0311"/>
    <w:rsid w:val="001C1B81"/>
    <w:rsid w:val="001C2BE8"/>
    <w:rsid w:val="001C3ACE"/>
    <w:rsid w:val="001D06C4"/>
    <w:rsid w:val="001D0957"/>
    <w:rsid w:val="001D7128"/>
    <w:rsid w:val="001E14B2"/>
    <w:rsid w:val="001E486F"/>
    <w:rsid w:val="001F695E"/>
    <w:rsid w:val="001F7C13"/>
    <w:rsid w:val="001F7CF9"/>
    <w:rsid w:val="0020132D"/>
    <w:rsid w:val="002042E4"/>
    <w:rsid w:val="00211530"/>
    <w:rsid w:val="002123A1"/>
    <w:rsid w:val="00213570"/>
    <w:rsid w:val="00214199"/>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195A"/>
    <w:rsid w:val="00273B1D"/>
    <w:rsid w:val="002746DC"/>
    <w:rsid w:val="00276593"/>
    <w:rsid w:val="00277378"/>
    <w:rsid w:val="00277EC1"/>
    <w:rsid w:val="0028564F"/>
    <w:rsid w:val="00285ABA"/>
    <w:rsid w:val="002B52FE"/>
    <w:rsid w:val="002B6A3E"/>
    <w:rsid w:val="002B7335"/>
    <w:rsid w:val="002C169F"/>
    <w:rsid w:val="002C3C6B"/>
    <w:rsid w:val="002D3E11"/>
    <w:rsid w:val="002E04E6"/>
    <w:rsid w:val="002E5A2F"/>
    <w:rsid w:val="003024F7"/>
    <w:rsid w:val="003079E7"/>
    <w:rsid w:val="0031028C"/>
    <w:rsid w:val="003150DE"/>
    <w:rsid w:val="00315657"/>
    <w:rsid w:val="003158E5"/>
    <w:rsid w:val="003221E9"/>
    <w:rsid w:val="003259EC"/>
    <w:rsid w:val="00330396"/>
    <w:rsid w:val="003311E6"/>
    <w:rsid w:val="00332318"/>
    <w:rsid w:val="0033472D"/>
    <w:rsid w:val="00336488"/>
    <w:rsid w:val="00336D5B"/>
    <w:rsid w:val="00342A32"/>
    <w:rsid w:val="003439A2"/>
    <w:rsid w:val="00344D61"/>
    <w:rsid w:val="003469EC"/>
    <w:rsid w:val="00347085"/>
    <w:rsid w:val="003509C0"/>
    <w:rsid w:val="003556E4"/>
    <w:rsid w:val="0036351B"/>
    <w:rsid w:val="00366032"/>
    <w:rsid w:val="003705E8"/>
    <w:rsid w:val="00371543"/>
    <w:rsid w:val="003716D4"/>
    <w:rsid w:val="0037679A"/>
    <w:rsid w:val="003901E7"/>
    <w:rsid w:val="003925B2"/>
    <w:rsid w:val="00394B25"/>
    <w:rsid w:val="0039560A"/>
    <w:rsid w:val="003A21FE"/>
    <w:rsid w:val="003A5C65"/>
    <w:rsid w:val="003B0DE6"/>
    <w:rsid w:val="003B17F4"/>
    <w:rsid w:val="003B1D77"/>
    <w:rsid w:val="003B4DF3"/>
    <w:rsid w:val="003B5FE9"/>
    <w:rsid w:val="003B7D6F"/>
    <w:rsid w:val="003C3911"/>
    <w:rsid w:val="003C6442"/>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457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8660C"/>
    <w:rsid w:val="0059142D"/>
    <w:rsid w:val="005915E3"/>
    <w:rsid w:val="00597C60"/>
    <w:rsid w:val="005A0ED2"/>
    <w:rsid w:val="005A3C89"/>
    <w:rsid w:val="005A42A5"/>
    <w:rsid w:val="005B07C8"/>
    <w:rsid w:val="005B1473"/>
    <w:rsid w:val="005B4A6F"/>
    <w:rsid w:val="005B7CA6"/>
    <w:rsid w:val="005C1F9E"/>
    <w:rsid w:val="005E5E7B"/>
    <w:rsid w:val="005F020B"/>
    <w:rsid w:val="005F1191"/>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56852"/>
    <w:rsid w:val="0066172F"/>
    <w:rsid w:val="00661833"/>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D6972"/>
    <w:rsid w:val="006E02DD"/>
    <w:rsid w:val="006E1129"/>
    <w:rsid w:val="006E6BDD"/>
    <w:rsid w:val="00702811"/>
    <w:rsid w:val="00706BC0"/>
    <w:rsid w:val="007127AA"/>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47AC"/>
    <w:rsid w:val="007650F4"/>
    <w:rsid w:val="00767B97"/>
    <w:rsid w:val="0077176C"/>
    <w:rsid w:val="00772C34"/>
    <w:rsid w:val="00773A15"/>
    <w:rsid w:val="007743EC"/>
    <w:rsid w:val="00776852"/>
    <w:rsid w:val="00776D66"/>
    <w:rsid w:val="00777B27"/>
    <w:rsid w:val="00781F12"/>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411C"/>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46E67"/>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019D2"/>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1E5B"/>
    <w:rsid w:val="00AB297F"/>
    <w:rsid w:val="00AB3202"/>
    <w:rsid w:val="00AB4A9B"/>
    <w:rsid w:val="00AC0AF2"/>
    <w:rsid w:val="00AC2568"/>
    <w:rsid w:val="00AC7446"/>
    <w:rsid w:val="00AD10B8"/>
    <w:rsid w:val="00AD6B94"/>
    <w:rsid w:val="00AF0D1C"/>
    <w:rsid w:val="00AF1DC0"/>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3F41"/>
    <w:rsid w:val="00BA595B"/>
    <w:rsid w:val="00BA7A98"/>
    <w:rsid w:val="00BB1509"/>
    <w:rsid w:val="00BB6BC4"/>
    <w:rsid w:val="00BC5FAC"/>
    <w:rsid w:val="00BD5606"/>
    <w:rsid w:val="00BE2554"/>
    <w:rsid w:val="00BE3B52"/>
    <w:rsid w:val="00BE465C"/>
    <w:rsid w:val="00C0419D"/>
    <w:rsid w:val="00C05123"/>
    <w:rsid w:val="00C06C73"/>
    <w:rsid w:val="00C10184"/>
    <w:rsid w:val="00C15323"/>
    <w:rsid w:val="00C1551C"/>
    <w:rsid w:val="00C24584"/>
    <w:rsid w:val="00C3286F"/>
    <w:rsid w:val="00C3299F"/>
    <w:rsid w:val="00C33013"/>
    <w:rsid w:val="00C43949"/>
    <w:rsid w:val="00C459D1"/>
    <w:rsid w:val="00C505BD"/>
    <w:rsid w:val="00C561D9"/>
    <w:rsid w:val="00C65B6B"/>
    <w:rsid w:val="00C665D4"/>
    <w:rsid w:val="00C66913"/>
    <w:rsid w:val="00C7245E"/>
    <w:rsid w:val="00C75866"/>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A3F31"/>
    <w:rsid w:val="00DA7F30"/>
    <w:rsid w:val="00DB07A4"/>
    <w:rsid w:val="00DB0DAB"/>
    <w:rsid w:val="00DB2837"/>
    <w:rsid w:val="00DB2D8F"/>
    <w:rsid w:val="00DB4B2E"/>
    <w:rsid w:val="00DB6514"/>
    <w:rsid w:val="00DB6A89"/>
    <w:rsid w:val="00DC266B"/>
    <w:rsid w:val="00DC4130"/>
    <w:rsid w:val="00DD18A1"/>
    <w:rsid w:val="00DD4471"/>
    <w:rsid w:val="00DE513D"/>
    <w:rsid w:val="00DE552D"/>
    <w:rsid w:val="00DE5BA8"/>
    <w:rsid w:val="00DE7291"/>
    <w:rsid w:val="00DE73B5"/>
    <w:rsid w:val="00DE7809"/>
    <w:rsid w:val="00DF4B68"/>
    <w:rsid w:val="00E05868"/>
    <w:rsid w:val="00E07594"/>
    <w:rsid w:val="00E10F79"/>
    <w:rsid w:val="00E11D5F"/>
    <w:rsid w:val="00E15C5B"/>
    <w:rsid w:val="00E23F76"/>
    <w:rsid w:val="00E275CE"/>
    <w:rsid w:val="00E41C96"/>
    <w:rsid w:val="00E42650"/>
    <w:rsid w:val="00E45DB8"/>
    <w:rsid w:val="00E4682B"/>
    <w:rsid w:val="00E47699"/>
    <w:rsid w:val="00E628B1"/>
    <w:rsid w:val="00E71D53"/>
    <w:rsid w:val="00E722BD"/>
    <w:rsid w:val="00E830F6"/>
    <w:rsid w:val="00E87347"/>
    <w:rsid w:val="00E945B0"/>
    <w:rsid w:val="00E94AFD"/>
    <w:rsid w:val="00E957AE"/>
    <w:rsid w:val="00EA6262"/>
    <w:rsid w:val="00EB3CCC"/>
    <w:rsid w:val="00EB4480"/>
    <w:rsid w:val="00EB6465"/>
    <w:rsid w:val="00ED6049"/>
    <w:rsid w:val="00ED6677"/>
    <w:rsid w:val="00EE6530"/>
    <w:rsid w:val="00F00E80"/>
    <w:rsid w:val="00F05965"/>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6C3"/>
    <w:rsid w:val="00F70EA3"/>
    <w:rsid w:val="00F73553"/>
    <w:rsid w:val="00F778B9"/>
    <w:rsid w:val="00F77E65"/>
    <w:rsid w:val="00F8226F"/>
    <w:rsid w:val="00F83543"/>
    <w:rsid w:val="00F84C53"/>
    <w:rsid w:val="00F907D1"/>
    <w:rsid w:val="00F926B8"/>
    <w:rsid w:val="00F9426F"/>
    <w:rsid w:val="00F95F55"/>
    <w:rsid w:val="00F968DC"/>
    <w:rsid w:val="00FA03A0"/>
    <w:rsid w:val="00FA2E27"/>
    <w:rsid w:val="00FA4128"/>
    <w:rsid w:val="00FA6158"/>
    <w:rsid w:val="00FA63F4"/>
    <w:rsid w:val="00FB15E3"/>
    <w:rsid w:val="00FB79BD"/>
    <w:rsid w:val="00FC754C"/>
    <w:rsid w:val="00FD0304"/>
    <w:rsid w:val="00FD3CE4"/>
    <w:rsid w:val="00FD684B"/>
    <w:rsid w:val="05EE3EFA"/>
    <w:rsid w:val="2FC26C49"/>
    <w:rsid w:val="3D25D500"/>
    <w:rsid w:val="3EEF98DD"/>
    <w:rsid w:val="3F9FD22F"/>
    <w:rsid w:val="470749E1"/>
    <w:rsid w:val="4F7B247E"/>
    <w:rsid w:val="57D94567"/>
    <w:rsid w:val="5C0039BC"/>
    <w:rsid w:val="5CFF1606"/>
    <w:rsid w:val="5DFFCE9C"/>
    <w:rsid w:val="5FB81DCD"/>
    <w:rsid w:val="63BD8BA4"/>
    <w:rsid w:val="6BFEE3C0"/>
    <w:rsid w:val="6BFF0146"/>
    <w:rsid w:val="6EFD90F7"/>
    <w:rsid w:val="72DE18B7"/>
    <w:rsid w:val="7329008F"/>
    <w:rsid w:val="74056480"/>
    <w:rsid w:val="77C6AB6B"/>
    <w:rsid w:val="77FF4F98"/>
    <w:rsid w:val="79FF0142"/>
    <w:rsid w:val="7BFB120F"/>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7"/>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99"/>
    <w:pPr>
      <w:suppressLineNumbers/>
      <w:suppressAutoHyphens/>
      <w:spacing w:before="120" w:after="120"/>
    </w:pPr>
    <w:rPr>
      <w:rFonts w:cs="Mangal"/>
      <w:i/>
      <w:iCs/>
      <w:kern w:val="21"/>
      <w:sz w:val="24"/>
      <w:lang w:eastAsia="ar-SA"/>
    </w:rPr>
  </w:style>
  <w:style w:type="paragraph" w:styleId="5">
    <w:name w:val="Body Text"/>
    <w:basedOn w:val="1"/>
    <w:link w:val="27"/>
    <w:qFormat/>
    <w:uiPriority w:val="0"/>
    <w:pPr>
      <w:spacing w:after="120"/>
    </w:pPr>
  </w:style>
  <w:style w:type="paragraph" w:styleId="6">
    <w:name w:val="Date"/>
    <w:basedOn w:val="1"/>
    <w:next w:val="1"/>
    <w:link w:val="26"/>
    <w:semiHidden/>
    <w:unhideWhenUsed/>
    <w:qFormat/>
    <w:uiPriority w:val="99"/>
    <w:pPr>
      <w:ind w:left="100" w:leftChars="2500"/>
    </w:pPr>
  </w:style>
  <w:style w:type="paragraph" w:styleId="7">
    <w:name w:val="Balloon Text"/>
    <w:basedOn w:val="1"/>
    <w:link w:val="23"/>
    <w:semiHidden/>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1">
    <w:name w:val="Normal (Web)"/>
    <w:basedOn w:val="1"/>
    <w:next w:val="1"/>
    <w:unhideWhenUsed/>
    <w:qFormat/>
    <w:uiPriority w:val="99"/>
    <w:pPr>
      <w:widowControl/>
      <w:spacing w:beforeAutospacing="1" w:afterAutospacing="1"/>
      <w:jc w:val="left"/>
    </w:pPr>
    <w:rPr>
      <w:rFonts w:ascii="宋体" w:hAnsi="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99"/>
    <w:rPr>
      <w:rFonts w:cs="Times New Roman"/>
      <w:b/>
    </w:rPr>
  </w:style>
  <w:style w:type="character" w:customStyle="1" w:styleId="16">
    <w:name w:val="标题 1 Char"/>
    <w:link w:val="2"/>
    <w:qFormat/>
    <w:locked/>
    <w:uiPriority w:val="99"/>
    <w:rPr>
      <w:rFonts w:cs="Times New Roman"/>
      <w:b/>
      <w:kern w:val="1"/>
      <w:sz w:val="44"/>
      <w:lang w:eastAsia="ar-SA" w:bidi="ar-SA"/>
    </w:rPr>
  </w:style>
  <w:style w:type="character" w:customStyle="1" w:styleId="17">
    <w:name w:val="标题 3 Char"/>
    <w:link w:val="3"/>
    <w:qFormat/>
    <w:locked/>
    <w:uiPriority w:val="99"/>
    <w:rPr>
      <w:rFonts w:cs="Times New Roman"/>
      <w:b/>
      <w:kern w:val="21"/>
      <w:sz w:val="32"/>
      <w:lang w:eastAsia="ar-SA" w:bidi="ar-SA"/>
    </w:rPr>
  </w:style>
  <w:style w:type="paragraph" w:styleId="18">
    <w:name w:val="List Paragraph"/>
    <w:basedOn w:val="1"/>
    <w:qFormat/>
    <w:uiPriority w:val="99"/>
    <w:pPr>
      <w:suppressAutoHyphens/>
      <w:ind w:firstLine="420" w:firstLineChars="200"/>
    </w:pPr>
    <w:rPr>
      <w:kern w:val="21"/>
      <w:lang w:eastAsia="ar-SA"/>
    </w:rPr>
  </w:style>
  <w:style w:type="paragraph" w:customStyle="1" w:styleId="19">
    <w:name w:val="段"/>
    <w:link w:val="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qFormat/>
    <w:locked/>
    <w:uiPriority w:val="0"/>
    <w:rPr>
      <w:rFonts w:ascii="宋体" w:cs="Times New Roman"/>
      <w:sz w:val="21"/>
      <w:lang w:val="en-US" w:eastAsia="zh-CN" w:bidi="ar-SA"/>
    </w:rPr>
  </w:style>
  <w:style w:type="character" w:customStyle="1" w:styleId="21">
    <w:name w:val="页眉 Char"/>
    <w:link w:val="9"/>
    <w:qFormat/>
    <w:uiPriority w:val="99"/>
    <w:rPr>
      <w:sz w:val="18"/>
      <w:szCs w:val="18"/>
    </w:rPr>
  </w:style>
  <w:style w:type="character" w:customStyle="1" w:styleId="22">
    <w:name w:val="页脚 Char"/>
    <w:link w:val="8"/>
    <w:qFormat/>
    <w:uiPriority w:val="99"/>
    <w:rPr>
      <w:sz w:val="18"/>
      <w:szCs w:val="18"/>
    </w:rPr>
  </w:style>
  <w:style w:type="character" w:customStyle="1" w:styleId="23">
    <w:name w:val="批注框文本 Char"/>
    <w:link w:val="7"/>
    <w:semiHidden/>
    <w:qFormat/>
    <w:uiPriority w:val="99"/>
    <w:rPr>
      <w:kern w:val="2"/>
      <w:sz w:val="18"/>
      <w:szCs w:val="18"/>
    </w:rPr>
  </w:style>
  <w:style w:type="table" w:customStyle="1" w:styleId="24">
    <w:name w:val="浅色底纹1"/>
    <w:basedOn w:val="1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5">
    <w:name w:val="浅色底纹2"/>
    <w:basedOn w:val="1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6">
    <w:name w:val="日期 Char"/>
    <w:basedOn w:val="14"/>
    <w:link w:val="6"/>
    <w:semiHidden/>
    <w:qFormat/>
    <w:uiPriority w:val="99"/>
    <w:rPr>
      <w:kern w:val="2"/>
      <w:sz w:val="21"/>
      <w:szCs w:val="24"/>
    </w:rPr>
  </w:style>
  <w:style w:type="character" w:customStyle="1" w:styleId="27">
    <w:name w:val="正文文本 Char"/>
    <w:basedOn w:val="14"/>
    <w:link w:val="5"/>
    <w:qFormat/>
    <w:uiPriority w:val="0"/>
    <w:rPr>
      <w:kern w:val="2"/>
      <w:sz w:val="21"/>
      <w:szCs w:val="24"/>
    </w:rPr>
  </w:style>
  <w:style w:type="paragraph" w:customStyle="1" w:styleId="28">
    <w:name w:val="标准文件_段"/>
    <w:link w:val="2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准文件_段 Char"/>
    <w:link w:val="28"/>
    <w:qFormat/>
    <w:uiPriority w:val="0"/>
    <w:rPr>
      <w:rFonts w:ascii="宋体"/>
      <w:sz w:val="21"/>
    </w:rPr>
  </w:style>
  <w:style w:type="paragraph" w:customStyle="1" w:styleId="30">
    <w:name w:val="一级条标题"/>
    <w:next w:val="19"/>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1">
    <w:name w:val="二级条标题"/>
    <w:basedOn w:val="30"/>
    <w:next w:val="19"/>
    <w:qFormat/>
    <w:uiPriority w:val="0"/>
    <w:pPr>
      <w:numPr>
        <w:ilvl w:val="2"/>
      </w:numPr>
      <w:spacing w:before="50" w:after="50"/>
      <w:outlineLvl w:val="3"/>
    </w:pPr>
  </w:style>
  <w:style w:type="paragraph" w:customStyle="1" w:styleId="32">
    <w:name w:val="附录表标题"/>
    <w:basedOn w:val="1"/>
    <w:next w:val="19"/>
    <w:qFormat/>
    <w:uiPriority w:val="0"/>
    <w:pPr>
      <w:numPr>
        <w:ilvl w:val="1"/>
        <w:numId w:val="2"/>
      </w:numPr>
      <w:tabs>
        <w:tab w:val="left" w:pos="180"/>
      </w:tabs>
      <w:spacing w:beforeLines="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10</Pages>
  <Words>6348</Words>
  <Characters>6755</Characters>
  <Lines>49</Lines>
  <Paragraphs>13</Paragraphs>
  <TotalTime>2</TotalTime>
  <ScaleCrop>false</ScaleCrop>
  <LinksUpToDate>false</LinksUpToDate>
  <CharactersWithSpaces>6896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2024-04-08T01:31:00Z</dcterms:created>
  <dc:creator>lenovo</dc:creator>
  <cp:lastModifiedBy>刘靖宇</cp:lastModifiedBy>
  <cp:lastPrinted>2017-01-18T23:31:00Z</cp:lastPrinted>
  <dcterms:modified xsi:type="dcterms:W3CDTF">2024-11-08T03:16:42Z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16DEC057891D4C0DB8764FBC7996C205_13</vt:lpwstr>
  </property>
</Properties>
</file>